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40" w:line="252" w:lineRule="auto"/>
        <w:jc w:val="center"/>
      </w:pPr>
      <w:r>
        <w:rPr>
          <w:rFonts w:ascii="Arial" w:hAnsi="Arial" w:eastAsia="Arial"/>
          <w:b/>
          <w:i w:val="0"/>
          <w:sz w:val="29"/>
        </w:rPr>
        <w:t>INSTRUKCJA BEZPIECZEŃSTWA POŻAROWEGO</w:t>
      </w:r>
    </w:p>
    <w:p>
      <w:pPr>
        <w:keepNext w:val="0"/>
        <w:spacing w:before="0" w:after="160" w:line="252" w:lineRule="auto"/>
        <w:jc w:val="center"/>
      </w:pPr>
      <w:r>
        <w:rPr>
          <w:rFonts w:ascii="Arial" w:hAnsi="Arial" w:eastAsia="Arial"/>
          <w:b w:val="0"/>
          <w:i/>
          <w:color w:val="333333"/>
          <w:sz w:val="18"/>
        </w:rPr>
        <w:t>budynku lub jego części stanowiącej odrębną strefę pożarową (§ 6 rozporządzenia MSWiA w sprawie ochrony przeciwpożarowej budynków, innych obiektów budowlanych i terenów, t.j. Dz.U. 2023 poz. 822)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Instrukcja nr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Wersja i data wprowadzenia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Obiekt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nazwa, adres, nr działki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Właściciel, zarządca lub użytkownik wdrażający instrukcję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Powierzchnia zabudowy, wysokość, liczba kondygnacji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Kubatura brutto budynku lub strefy pożarowej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m³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1. Podstawa i zakres obowiązku (§ 6 ust. 1 i 8)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obiekt lub jego część stanowiąca odrębną strefę pożarową ma funkcję: użyteczności publicznej / zamieszkania zbiorowego / produkcyjną / magazynową / inwentarską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 obiekcie występuje strefa zagrożenia wybuchem albo kubatura brutto budynku (strefy) przekracza 1000 m³ (budynek inwentarski: 1500 m³; obiekt inny niż budynek: powierzchnia strefy ponad 1000 m²), więc instrukcja jest wymagana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obiekt spełnia warunki zwolnienia z ust. 8 i instrukcja nie jest wymagana, ale firma ją prowadzi dobrowolnie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instrukcja stanowi część instrukcji technologiczno-ruchowej (obiekty produkcyjne, magazynowe i inwentarskie, § 6 ust. 6)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2. Warunki ochrony przeciwpożarowej (§ 6 ust. 1 pkt 1)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Przeznaczenie i sposób użytkowania obiektu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Proces technologiczny, magazynowanie (składowanie)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rodzaje i ilości materiałów, w tym niebezpiecznych pożarowo (§ 2 ust. 1 pkt 1)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Strefy pożarowe i kategoria zagrożenia ludzi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oznaczenia, powierzchnie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Gęstość obciążenia ogniowego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MJ/m², strefa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Strefy zagrożenia wybuchem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tak / nie, które pomieszczenia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Warunki techniczne obiektu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klasa odporności ogniowej, ściany oddzielenia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3. Urządzenia przeciwpożarowe i gaśnice, przeglądy i konserwacja (§ 6 ust. 1 pkt 2)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565"/>
        <w:gridCol w:w="2565"/>
        <w:gridCol w:w="2959"/>
        <w:gridCol w:w="1775"/>
      </w:tblGrid>
      <w:tr>
        <w:trPr>
          <w:cantSplit/>
        </w:trPr>
        <w:tc>
          <w:tcPr>
            <w:tcW w:type="dxa" w:w="256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Urządzenie lub wyposażenie</w:t>
            </w:r>
          </w:p>
        </w:tc>
        <w:tc>
          <w:tcPr>
            <w:tcW w:type="dxa" w:w="256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Liczba i rozmieszczenie</w:t>
            </w:r>
          </w:p>
        </w:tc>
        <w:tc>
          <w:tcPr>
            <w:tcW w:type="dxa" w:w="295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Przegląd i konserwacja: kto, jak często</w:t>
            </w:r>
          </w:p>
        </w:tc>
        <w:tc>
          <w:tcPr>
            <w:tcW w:type="dxa" w:w="177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Ostatni / następny</w:t>
            </w:r>
          </w:p>
        </w:tc>
      </w:tr>
      <w:tr>
        <w:trPr>
          <w:trHeight w:val="481" w:hRule="atLeast"/>
          <w:cantSplit/>
        </w:trPr>
        <w:tc>
          <w:tcPr>
            <w:tcW w:type="dxa" w:w="2565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Gaśnice przenośne i przewoźne</w:t>
            </w:r>
          </w:p>
        </w:tc>
        <w:tc>
          <w:tcPr>
            <w:tcW w:type="dxa" w:w="2565"/>
          </w:tcPr>
          <w:p/>
        </w:tc>
        <w:tc>
          <w:tcPr>
            <w:tcW w:type="dxa" w:w="2959"/>
          </w:tcPr>
          <w:p/>
        </w:tc>
        <w:tc>
          <w:tcPr>
            <w:tcW w:type="dxa" w:w="1775"/>
          </w:tcPr>
          <w:p/>
        </w:tc>
      </w:tr>
      <w:tr>
        <w:trPr>
          <w:trHeight w:val="481" w:hRule="atLeast"/>
          <w:cantSplit/>
        </w:trPr>
        <w:tc>
          <w:tcPr>
            <w:tcW w:type="dxa" w:w="2565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Hydranty wewnętrzne i zewnętrzne</w:t>
            </w:r>
          </w:p>
        </w:tc>
        <w:tc>
          <w:tcPr>
            <w:tcW w:type="dxa" w:w="2565"/>
          </w:tcPr>
          <w:p/>
        </w:tc>
        <w:tc>
          <w:tcPr>
            <w:tcW w:type="dxa" w:w="2959"/>
          </w:tcPr>
          <w:p/>
        </w:tc>
        <w:tc>
          <w:tcPr>
            <w:tcW w:type="dxa" w:w="1775"/>
          </w:tcPr>
          <w:p/>
        </w:tc>
      </w:tr>
      <w:tr>
        <w:trPr>
          <w:trHeight w:val="481" w:hRule="atLeast"/>
          <w:cantSplit/>
        </w:trPr>
        <w:tc>
          <w:tcPr>
            <w:tcW w:type="dxa" w:w="2565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System sygnalizacji pożarowej, DSO</w:t>
            </w:r>
          </w:p>
        </w:tc>
        <w:tc>
          <w:tcPr>
            <w:tcW w:type="dxa" w:w="2565"/>
          </w:tcPr>
          <w:p/>
        </w:tc>
        <w:tc>
          <w:tcPr>
            <w:tcW w:type="dxa" w:w="2959"/>
          </w:tcPr>
          <w:p/>
        </w:tc>
        <w:tc>
          <w:tcPr>
            <w:tcW w:type="dxa" w:w="1775"/>
          </w:tcPr>
          <w:p/>
        </w:tc>
      </w:tr>
      <w:tr>
        <w:trPr>
          <w:trHeight w:val="481" w:hRule="atLeast"/>
          <w:cantSplit/>
        </w:trPr>
        <w:tc>
          <w:tcPr>
            <w:tcW w:type="dxa" w:w="2565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Oświetlenie awaryjne i ewakuacyjne</w:t>
            </w:r>
          </w:p>
        </w:tc>
        <w:tc>
          <w:tcPr>
            <w:tcW w:type="dxa" w:w="2565"/>
          </w:tcPr>
          <w:p/>
        </w:tc>
        <w:tc>
          <w:tcPr>
            <w:tcW w:type="dxa" w:w="2959"/>
          </w:tcPr>
          <w:p/>
        </w:tc>
        <w:tc>
          <w:tcPr>
            <w:tcW w:type="dxa" w:w="1775"/>
          </w:tcPr>
          <w:p/>
        </w:tc>
      </w:tr>
      <w:tr>
        <w:trPr>
          <w:trHeight w:val="481" w:hRule="atLeast"/>
          <w:cantSplit/>
        </w:trPr>
        <w:tc>
          <w:tcPr>
            <w:tcW w:type="dxa" w:w="2565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Przeciwpożarowy wyłącznik prądu</w:t>
            </w:r>
          </w:p>
        </w:tc>
        <w:tc>
          <w:tcPr>
            <w:tcW w:type="dxa" w:w="2565"/>
          </w:tcPr>
          <w:p/>
        </w:tc>
        <w:tc>
          <w:tcPr>
            <w:tcW w:type="dxa" w:w="2959"/>
          </w:tcPr>
          <w:p/>
        </w:tc>
        <w:tc>
          <w:tcPr>
            <w:tcW w:type="dxa" w:w="1775"/>
          </w:tcPr>
          <w:p/>
        </w:tc>
      </w:tr>
      <w:tr>
        <w:trPr>
          <w:trHeight w:val="481" w:hRule="atLeast"/>
          <w:cantSplit/>
        </w:trPr>
        <w:tc>
          <w:tcPr>
            <w:tcW w:type="dxa" w:w="2565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Drzwi i bramy przeciwpożarowe, klapy, wentylacja pożarowa</w:t>
            </w:r>
          </w:p>
        </w:tc>
        <w:tc>
          <w:tcPr>
            <w:tcW w:type="dxa" w:w="2565"/>
          </w:tcPr>
          <w:p/>
        </w:tc>
        <w:tc>
          <w:tcPr>
            <w:tcW w:type="dxa" w:w="2959"/>
          </w:tcPr>
          <w:p/>
        </w:tc>
        <w:tc>
          <w:tcPr>
            <w:tcW w:type="dxa" w:w="1775"/>
          </w:tcPr>
          <w:p/>
        </w:tc>
      </w:tr>
      <w:tr>
        <w:trPr>
          <w:trHeight w:val="481" w:hRule="atLeast"/>
          <w:cantSplit/>
        </w:trPr>
        <w:tc>
          <w:tcPr>
            <w:tcW w:type="dxa" w:w="2565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Autonomiczne czujki dymu lub tlenku węgla</w:t>
            </w:r>
          </w:p>
        </w:tc>
        <w:tc>
          <w:tcPr>
            <w:tcW w:type="dxa" w:w="2565"/>
          </w:tcPr>
          <w:p/>
        </w:tc>
        <w:tc>
          <w:tcPr>
            <w:tcW w:type="dxa" w:w="2959"/>
          </w:tcPr>
          <w:p/>
        </w:tc>
        <w:tc>
          <w:tcPr>
            <w:tcW w:type="dxa" w:w="1775"/>
          </w:tcPr>
          <w:p/>
        </w:tc>
      </w:tr>
      <w:tr>
        <w:trPr>
          <w:trHeight w:val="481" w:hRule="atLeast"/>
          <w:cantSplit/>
        </w:trPr>
        <w:tc>
          <w:tcPr>
            <w:tcW w:type="dxa" w:w="2565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Inne: ........................</w:t>
            </w:r>
          </w:p>
        </w:tc>
        <w:tc>
          <w:tcPr>
            <w:tcW w:type="dxa" w:w="2565"/>
          </w:tcPr>
          <w:p/>
        </w:tc>
        <w:tc>
          <w:tcPr>
            <w:tcW w:type="dxa" w:w="2959"/>
          </w:tcPr>
          <w:p/>
        </w:tc>
        <w:tc>
          <w:tcPr>
            <w:tcW w:type="dxa" w:w="1775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Przeglądy techniczne i konserwację wykonuje się w okresach ustalonych przez producenta, nie rzadziej niż raz w roku (§ 3 ust. 2 i 3). Węże hydrantów wewnętrznych poddaje się próbie ciśnieniowej raz na 5 lat (§ 3 ust. 4). Autonomiczne czujki dymu i tlenku węgla montuje się, konserwuje i eksploatuje według instrukcji producenta (§ 3 ust. 3a).</w:t>
      </w: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4. Sposoby postępowania na wypadek pożaru i innego zagrożenia (§ 6 ust. 1 pkt 3)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cantSplit/>
        </w:trPr>
        <w:tc>
          <w:tcPr>
            <w:tcW w:type="dxa" w:w="986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Kolejność działań</w:t>
            </w:r>
          </w:p>
        </w:tc>
      </w:tr>
      <w:tr>
        <w:trPr>
          <w:trHeight w:val="481" w:hRule="atLeast"/>
          <w:cantSplit/>
        </w:trPr>
        <w:tc>
          <w:tcPr>
            <w:tcW w:type="dxa" w:w="9865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1. Zaalarmuj osoby w zagrożonej strefie, uruchom alarm (ręczny ostrzegacz pożarowy, DSO, głos).</w:t>
            </w:r>
          </w:p>
        </w:tc>
      </w:tr>
      <w:tr>
        <w:trPr>
          <w:trHeight w:val="481" w:hRule="atLeast"/>
          <w:cantSplit/>
        </w:trPr>
        <w:tc>
          <w:tcPr>
            <w:tcW w:type="dxa" w:w="9865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2. Wezwij straż pożarną (112 albo 998). Podaj adres obiektu, co się pali, czy są ludzie w zagrożeniu, czy są materiały niebezpieczne.</w:t>
            </w:r>
          </w:p>
        </w:tc>
      </w:tr>
      <w:tr>
        <w:trPr>
          <w:trHeight w:val="481" w:hRule="atLeast"/>
          <w:cantSplit/>
        </w:trPr>
        <w:tc>
          <w:tcPr>
            <w:tcW w:type="dxa" w:w="9865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3. Rozpocznij ewakuację według pkt 6 i wyprowadź osoby ze strefy zagrożenia, zaczynając od najbliższych pożaru.</w:t>
            </w:r>
          </w:p>
        </w:tc>
      </w:tr>
      <w:tr>
        <w:trPr>
          <w:trHeight w:val="481" w:hRule="atLeast"/>
          <w:cantSplit/>
        </w:trPr>
        <w:tc>
          <w:tcPr>
            <w:tcW w:type="dxa" w:w="9865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4. Gaś pożar w zarodku gaśnicą, jeśli nie narażasz siebie ani innych. Nie otwieraj drzwi pomieszczenia objętego pożarem bez potrzeby.</w:t>
            </w:r>
          </w:p>
        </w:tc>
      </w:tr>
      <w:tr>
        <w:trPr>
          <w:trHeight w:val="481" w:hRule="atLeast"/>
          <w:cantSplit/>
        </w:trPr>
        <w:tc>
          <w:tcPr>
            <w:tcW w:type="dxa" w:w="9865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5. Wyłącz zasilanie (przeciwpożarowy wyłącznik prądu), zamknij kurek główny gazu, wyłącz wentylację, jeśli nie jest wentylacją pożarową.</w:t>
            </w:r>
          </w:p>
        </w:tc>
      </w:tr>
      <w:tr>
        <w:trPr>
          <w:trHeight w:val="481" w:hRule="atLeast"/>
          <w:cantSplit/>
        </w:trPr>
        <w:tc>
          <w:tcPr>
            <w:tcW w:type="dxa" w:w="9865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6. Zbierz osoby w punkcie zbiórki, sprawdź listę obecności i zgłoś brakujące osoby kierującemu akcją ratowniczą.</w:t>
            </w:r>
          </w:p>
        </w:tc>
      </w:tr>
      <w:tr>
        <w:trPr>
          <w:trHeight w:val="481" w:hRule="atLeast"/>
          <w:cantSplit/>
        </w:trPr>
        <w:tc>
          <w:tcPr>
            <w:tcW w:type="dxa" w:w="9865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7. Wyślij osobę do wjazdu, która wskaże ekipom ratowniczym drogę, miejsce pożaru, hydranty, materiały niebezpieczne i butle z gazem.</w:t>
            </w:r>
          </w:p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3946"/>
        <w:gridCol w:w="2367"/>
        <w:gridCol w:w="3551"/>
      </w:tblGrid>
      <w:tr>
        <w:trPr>
          <w:cantSplit/>
        </w:trPr>
        <w:tc>
          <w:tcPr>
            <w:tcW w:type="dxa" w:w="3946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Kogo powiadomić</w:t>
            </w:r>
          </w:p>
        </w:tc>
        <w:tc>
          <w:tcPr>
            <w:tcW w:type="dxa" w:w="236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Telefon</w:t>
            </w:r>
          </w:p>
        </w:tc>
        <w:tc>
          <w:tcPr>
            <w:tcW w:type="dxa" w:w="355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Uwagi</w:t>
            </w:r>
          </w:p>
        </w:tc>
      </w:tr>
      <w:tr>
        <w:trPr>
          <w:trHeight w:val="481" w:hRule="atLeast"/>
          <w:cantSplit/>
        </w:trPr>
        <w:tc>
          <w:tcPr>
            <w:tcW w:type="dxa" w:w="3946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Numer alarmowy / Państwowa Straż Pożarna</w:t>
            </w:r>
          </w:p>
        </w:tc>
        <w:tc>
          <w:tcPr>
            <w:tcW w:type="dxa" w:w="2367"/>
          </w:tcPr>
          <w:p/>
        </w:tc>
        <w:tc>
          <w:tcPr>
            <w:tcW w:type="dxa" w:w="3551"/>
          </w:tcPr>
          <w:p/>
        </w:tc>
      </w:tr>
      <w:tr>
        <w:trPr>
          <w:trHeight w:val="481" w:hRule="atLeast"/>
          <w:cantSplit/>
        </w:trPr>
        <w:tc>
          <w:tcPr>
            <w:tcW w:type="dxa" w:w="3946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Osoba kierująca ewakuacją: ........................</w:t>
            </w:r>
          </w:p>
        </w:tc>
        <w:tc>
          <w:tcPr>
            <w:tcW w:type="dxa" w:w="2367"/>
          </w:tcPr>
          <w:p/>
        </w:tc>
        <w:tc>
          <w:tcPr>
            <w:tcW w:type="dxa" w:w="3551"/>
          </w:tcPr>
          <w:p/>
        </w:tc>
      </w:tr>
      <w:tr>
        <w:trPr>
          <w:trHeight w:val="481" w:hRule="atLeast"/>
          <w:cantSplit/>
        </w:trPr>
        <w:tc>
          <w:tcPr>
            <w:tcW w:type="dxa" w:w="3946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Zarządca obiektu: ........................</w:t>
            </w:r>
          </w:p>
        </w:tc>
        <w:tc>
          <w:tcPr>
            <w:tcW w:type="dxa" w:w="2367"/>
          </w:tcPr>
          <w:p/>
        </w:tc>
        <w:tc>
          <w:tcPr>
            <w:tcW w:type="dxa" w:w="3551"/>
          </w:tcPr>
          <w:p/>
        </w:tc>
      </w:tr>
      <w:tr>
        <w:trPr>
          <w:trHeight w:val="481" w:hRule="atLeast"/>
          <w:cantSplit/>
        </w:trPr>
        <w:tc>
          <w:tcPr>
            <w:tcW w:type="dxa" w:w="3946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Pogotowie gazowe i energetyczne</w:t>
            </w:r>
          </w:p>
        </w:tc>
        <w:tc>
          <w:tcPr>
            <w:tcW w:type="dxa" w:w="2367"/>
          </w:tcPr>
          <w:p/>
        </w:tc>
        <w:tc>
          <w:tcPr>
            <w:tcW w:type="dxa" w:w="3551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5. Prace niebezpieczne pod względem pożarowym (§ 6 ust. 1 pkt 4, § 36)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Czy takie prace są przewidywane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tak / nie, jakie: spawanie, cięcie z iskrami, otwarty ogień, prace w strefie zagrożenia wybuchem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Dokument zabezpieczenia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nr i wzór zezwolenia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przed pracą właściciel, zarządca lub użytkownik ocenia zagrożenie pożarowe w miejscu pracy i ustala środki zapobiegawcze (§ 36 ust. 1 pkt 1–2)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wskazano osoby odpowiedzialne za przygotowanie miejsca, przebieg pracy i zabezpieczenie po jej zakończeniu (pkt 3)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prace wykonują wyłącznie osoby upoważnione, z odpowiednimi kwalifikacjami; wykonawcy poznali zagrożenia pożarowe w rejonie (pkt 4–5)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po zakończeniu prac skontrolowano miejsce i rejony przyległe, wynik zapisano w dokumencie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6. Warunki i organizacja ewakuacji, praktyczne sprawdzanie (§ 6 ust. 1 pkt 5)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Drogi i wyjścia ewakuacyjne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kierunki, liczba wyjść, szerokości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Największa liczba osób na kondygnacji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kategoria zagrożenia ludzi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Kto kieruje ewakuacją i kto go zastępuje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telefon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Punkt zbiórki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miejsce, oznakowanie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Osoby wymagające pomocy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osoby z niepełnosprawnością, goście, ekipy zewnętrzne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Stali użytkownicy obiektu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liczba osób, kategoria zagrożenia ludzi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5524"/>
        <w:gridCol w:w="1381"/>
        <w:gridCol w:w="2959"/>
      </w:tblGrid>
      <w:tr>
        <w:trPr>
          <w:cantSplit/>
        </w:trPr>
        <w:tc>
          <w:tcPr>
            <w:tcW w:type="dxa" w:w="5524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Praktyczne sprawdzenie organizacji i warunków ewakuacji (§ 17)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</w:t>
            </w:r>
          </w:p>
        </w:tc>
        <w:tc>
          <w:tcPr>
            <w:tcW w:type="dxa" w:w="295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Wynik, uwagi</w:t>
            </w:r>
          </w:p>
        </w:tc>
      </w:tr>
      <w:tr>
        <w:trPr>
          <w:trHeight w:val="481" w:hRule="atLeast"/>
          <w:cantSplit/>
        </w:trPr>
        <w:tc>
          <w:tcPr>
            <w:tcW w:type="dxa" w:w="5524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Ostatnie sprawdzenie z całego obiektu</w:t>
            </w:r>
          </w:p>
        </w:tc>
        <w:tc>
          <w:tcPr>
            <w:tcW w:type="dxa" w:w="1381"/>
          </w:tcPr>
          <w:p/>
        </w:tc>
        <w:tc>
          <w:tcPr>
            <w:tcW w:type="dxa" w:w="2959"/>
          </w:tcPr>
          <w:p/>
        </w:tc>
      </w:tr>
      <w:tr>
        <w:trPr>
          <w:trHeight w:val="481" w:hRule="atLeast"/>
          <w:cantSplit/>
        </w:trPr>
        <w:tc>
          <w:tcPr>
            <w:tcW w:type="dxa" w:w="5524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Następne sprawdzenie najpóźniej</w:t>
            </w:r>
          </w:p>
        </w:tc>
        <w:tc>
          <w:tcPr>
            <w:tcW w:type="dxa" w:w="1381"/>
          </w:tcPr>
          <w:p/>
        </w:tc>
        <w:tc>
          <w:tcPr>
            <w:tcW w:type="dxa" w:w="2959"/>
          </w:tcPr>
          <w:p/>
        </w:tc>
      </w:tr>
      <w:tr>
        <w:trPr>
          <w:trHeight w:val="481" w:hRule="atLeast"/>
          <w:cantSplit/>
        </w:trPr>
        <w:tc>
          <w:tcPr>
            <w:tcW w:type="dxa" w:w="5524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Powiadomienie komendanta powiatowego (miejskiego) PSP o terminie (ust. 4)</w:t>
            </w:r>
          </w:p>
        </w:tc>
        <w:tc>
          <w:tcPr>
            <w:tcW w:type="dxa" w:w="1381"/>
          </w:tcPr>
          <w:p/>
        </w:tc>
        <w:tc>
          <w:tcPr>
            <w:tcW w:type="dxa" w:w="2959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Właściciel lub zarządca obiektu dla ponad 50 stałych użytkowników, niezakwalifikowanego do kategorii zagrożenia ludzi ZL IV, powinien co najmniej raz na 2 lata przeprowadzić praktyczne sprawdzenie organizacji i warunków ewakuacji z całego obiektu (§ 17 ust. 1). Gdy cyklicznie zmienia się grupa ponad 50 użytkowników, jak w szkołach i internatach, sprawdzenie wykonuje się co najmniej raz na rok, w ciągu 3 miesięcy od rozpoczęcia korzystania przez nowych użytkowników (ust. 2). Komendanta powiadamia się najpóźniej na tydzień przed terminem (ust. 4). Zakaz zamykania drzwi ewakuacyjnych w sposób uniemożliwiający ich użycie, składowania na drogach ewakuacyjnych i ograniczania dostępu do gaśnic i wyłączników prądu wynika z § 4 ust. 1 pkt 11, 14 i 18.</w:t>
      </w: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7. Zapoznanie użytkowników i pracowników z przepisami i instrukcją (§ 6 ust. 1 pkt 6)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przy zatrudnieniu i przed rozpoczęciem pracy: przepisy przeciwpożarowe i treść instrukcji, potwierdzenie na liście z pkt 13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po każdej zmianie instrukcji: informacja dla stałych użytkowników i pracowników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goście i ekipy zewnętrzne: skrót postępowania na wypadek pożaru wydawany przy wejściu: ........................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instrukcja postępowania na wypadek pożaru z wykazem telefonów alarmowych wywieszona w widocznych miejscach (§ 4 ust. 2 pkt 3)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8. Zadania i obowiązki stałych użytkowników (§ 6 ust. 1 pkt 7)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565"/>
        <w:gridCol w:w="3946"/>
        <w:gridCol w:w="1973"/>
        <w:gridCol w:w="1381"/>
      </w:tblGrid>
      <w:tr>
        <w:trPr>
          <w:cantSplit/>
        </w:trPr>
        <w:tc>
          <w:tcPr>
            <w:tcW w:type="dxa" w:w="256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Użytkownik, dział lub lokal</w:t>
            </w:r>
          </w:p>
        </w:tc>
        <w:tc>
          <w:tcPr>
            <w:tcW w:type="dxa" w:w="3946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Zadania i obowiązki w ochronie ppoż.</w:t>
            </w:r>
          </w:p>
        </w:tc>
        <w:tc>
          <w:tcPr>
            <w:tcW w:type="dxa" w:w="197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Osoba odpowiedzialna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Telefon</w:t>
            </w:r>
          </w:p>
        </w:tc>
      </w:tr>
      <w:tr>
        <w:trPr>
          <w:trHeight w:val="481" w:hRule="atLeast"/>
          <w:cantSplit/>
        </w:trPr>
        <w:tc>
          <w:tcPr>
            <w:tcW w:type="dxa" w:w="2565"/>
          </w:tcPr>
          <w:p/>
        </w:tc>
        <w:tc>
          <w:tcPr>
            <w:tcW w:type="dxa" w:w="3946"/>
          </w:tcPr>
          <w:p/>
        </w:tc>
        <w:tc>
          <w:tcPr>
            <w:tcW w:type="dxa" w:w="1973"/>
          </w:tcPr>
          <w:p/>
        </w:tc>
        <w:tc>
          <w:tcPr>
            <w:tcW w:type="dxa" w:w="1381"/>
          </w:tcPr>
          <w:p/>
        </w:tc>
      </w:tr>
      <w:tr>
        <w:trPr>
          <w:trHeight w:val="481" w:hRule="atLeast"/>
          <w:cantSplit/>
        </w:trPr>
        <w:tc>
          <w:tcPr>
            <w:tcW w:type="dxa" w:w="2565"/>
          </w:tcPr>
          <w:p/>
        </w:tc>
        <w:tc>
          <w:tcPr>
            <w:tcW w:type="dxa" w:w="3946"/>
          </w:tcPr>
          <w:p/>
        </w:tc>
        <w:tc>
          <w:tcPr>
            <w:tcW w:type="dxa" w:w="1973"/>
          </w:tcPr>
          <w:p/>
        </w:tc>
        <w:tc>
          <w:tcPr>
            <w:tcW w:type="dxa" w:w="1381"/>
          </w:tcPr>
          <w:p/>
        </w:tc>
      </w:tr>
      <w:tr>
        <w:trPr>
          <w:trHeight w:val="481" w:hRule="atLeast"/>
          <w:cantSplit/>
        </w:trPr>
        <w:tc>
          <w:tcPr>
            <w:tcW w:type="dxa" w:w="2565"/>
          </w:tcPr>
          <w:p/>
        </w:tc>
        <w:tc>
          <w:tcPr>
            <w:tcW w:type="dxa" w:w="3946"/>
          </w:tcPr>
          <w:p/>
        </w:tc>
        <w:tc>
          <w:tcPr>
            <w:tcW w:type="dxa" w:w="1973"/>
          </w:tcPr>
          <w:p/>
        </w:tc>
        <w:tc>
          <w:tcPr>
            <w:tcW w:type="dxa" w:w="1381"/>
          </w:tcPr>
          <w:p/>
        </w:tc>
      </w:tr>
      <w:tr>
        <w:trPr>
          <w:trHeight w:val="481" w:hRule="atLeast"/>
          <w:cantSplit/>
        </w:trPr>
        <w:tc>
          <w:tcPr>
            <w:tcW w:type="dxa" w:w="2565"/>
          </w:tcPr>
          <w:p/>
        </w:tc>
        <w:tc>
          <w:tcPr>
            <w:tcW w:type="dxa" w:w="3946"/>
          </w:tcPr>
          <w:p/>
        </w:tc>
        <w:tc>
          <w:tcPr>
            <w:tcW w:type="dxa" w:w="1973"/>
          </w:tcPr>
          <w:p/>
        </w:tc>
        <w:tc>
          <w:tcPr>
            <w:tcW w:type="dxa" w:w="1381"/>
          </w:tcPr>
          <w:p/>
        </w:tc>
      </w:tr>
      <w:tr>
        <w:trPr>
          <w:trHeight w:val="481" w:hRule="atLeast"/>
          <w:cantSplit/>
        </w:trPr>
        <w:tc>
          <w:tcPr>
            <w:tcW w:type="dxa" w:w="2565"/>
          </w:tcPr>
          <w:p/>
        </w:tc>
        <w:tc>
          <w:tcPr>
            <w:tcW w:type="dxa" w:w="3946"/>
          </w:tcPr>
          <w:p/>
        </w:tc>
        <w:tc>
          <w:tcPr>
            <w:tcW w:type="dxa" w:w="1973"/>
          </w:tcPr>
          <w:p/>
        </w:tc>
        <w:tc>
          <w:tcPr>
            <w:tcW w:type="dxa" w:w="1381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9. Plany obiektu i terenu przyległego (§ 6 ust. 1 pkt 8)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6116"/>
        <w:gridCol w:w="690"/>
        <w:gridCol w:w="887"/>
        <w:gridCol w:w="2170"/>
      </w:tblGrid>
      <w:tr>
        <w:trPr>
          <w:cantSplit/>
        </w:trPr>
        <w:tc>
          <w:tcPr>
            <w:tcW w:type="dxa" w:w="6116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Dane na planie</w:t>
            </w:r>
          </w:p>
        </w:tc>
        <w:tc>
          <w:tcPr>
            <w:tcW w:type="dxa" w:w="690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Tak</w:t>
            </w:r>
          </w:p>
        </w:tc>
        <w:tc>
          <w:tcPr>
            <w:tcW w:type="dxa" w:w="88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Nie dot.</w:t>
            </w:r>
          </w:p>
        </w:tc>
        <w:tc>
          <w:tcPr>
            <w:tcW w:type="dxa" w:w="2170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Nr rysunku</w:t>
            </w:r>
          </w:p>
        </w:tc>
      </w:tr>
      <w:tr>
        <w:trPr>
          <w:trHeight w:val="481" w:hRule="atLeast"/>
          <w:cantSplit/>
        </w:trPr>
        <w:tc>
          <w:tcPr>
            <w:tcW w:type="dxa" w:w="6116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Powierzchnia, wysokość i liczba kondygnacji budynku (lit. a)</w:t>
            </w:r>
          </w:p>
        </w:tc>
        <w:tc>
          <w:tcPr>
            <w:tcW w:type="dxa" w:w="690"/>
          </w:tcPr>
          <w:p/>
        </w:tc>
        <w:tc>
          <w:tcPr>
            <w:tcW w:type="dxa" w:w="887"/>
          </w:tcPr>
          <w:p/>
        </w:tc>
        <w:tc>
          <w:tcPr>
            <w:tcW w:type="dxa" w:w="2170"/>
          </w:tcPr>
          <w:p/>
        </w:tc>
      </w:tr>
      <w:tr>
        <w:trPr>
          <w:trHeight w:val="481" w:hRule="atLeast"/>
          <w:cantSplit/>
        </w:trPr>
        <w:tc>
          <w:tcPr>
            <w:tcW w:type="dxa" w:w="6116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Odległości od obiektów sąsiadujących (lit. b)</w:t>
            </w:r>
          </w:p>
        </w:tc>
        <w:tc>
          <w:tcPr>
            <w:tcW w:type="dxa" w:w="690"/>
          </w:tcPr>
          <w:p/>
        </w:tc>
        <w:tc>
          <w:tcPr>
            <w:tcW w:type="dxa" w:w="887"/>
          </w:tcPr>
          <w:p/>
        </w:tc>
        <w:tc>
          <w:tcPr>
            <w:tcW w:type="dxa" w:w="2170"/>
          </w:tcPr>
          <w:p/>
        </w:tc>
      </w:tr>
      <w:tr>
        <w:trPr>
          <w:trHeight w:val="481" w:hRule="atLeast"/>
          <w:cantSplit/>
        </w:trPr>
        <w:tc>
          <w:tcPr>
            <w:tcW w:type="dxa" w:w="6116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Parametry pożarowe substancji palnych i gęstość obciążenia ogniowego (lit. c, d)</w:t>
            </w:r>
          </w:p>
        </w:tc>
        <w:tc>
          <w:tcPr>
            <w:tcW w:type="dxa" w:w="690"/>
          </w:tcPr>
          <w:p/>
        </w:tc>
        <w:tc>
          <w:tcPr>
            <w:tcW w:type="dxa" w:w="887"/>
          </w:tcPr>
          <w:p/>
        </w:tc>
        <w:tc>
          <w:tcPr>
            <w:tcW w:type="dxa" w:w="2170"/>
          </w:tcPr>
          <w:p/>
        </w:tc>
      </w:tr>
      <w:tr>
        <w:trPr>
          <w:trHeight w:val="481" w:hRule="atLeast"/>
          <w:cantSplit/>
        </w:trPr>
        <w:tc>
          <w:tcPr>
            <w:tcW w:type="dxa" w:w="6116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Kategoria zagrożenia ludzi, liczba osób na kondygnacji i w pomieszczeniach (lit. e)</w:t>
            </w:r>
          </w:p>
        </w:tc>
        <w:tc>
          <w:tcPr>
            <w:tcW w:type="dxa" w:w="690"/>
          </w:tcPr>
          <w:p/>
        </w:tc>
        <w:tc>
          <w:tcPr>
            <w:tcW w:type="dxa" w:w="887"/>
          </w:tcPr>
          <w:p/>
        </w:tc>
        <w:tc>
          <w:tcPr>
            <w:tcW w:type="dxa" w:w="2170"/>
          </w:tcPr>
          <w:p/>
        </w:tc>
      </w:tr>
      <w:tr>
        <w:trPr>
          <w:trHeight w:val="481" w:hRule="atLeast"/>
          <w:cantSplit/>
        </w:trPr>
        <w:tc>
          <w:tcPr>
            <w:tcW w:type="dxa" w:w="6116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Pomieszczenia i przestrzenie zewnętrzne w strefach zagrożenia wybuchem (lit. f)</w:t>
            </w:r>
          </w:p>
        </w:tc>
        <w:tc>
          <w:tcPr>
            <w:tcW w:type="dxa" w:w="690"/>
          </w:tcPr>
          <w:p/>
        </w:tc>
        <w:tc>
          <w:tcPr>
            <w:tcW w:type="dxa" w:w="887"/>
          </w:tcPr>
          <w:p/>
        </w:tc>
        <w:tc>
          <w:tcPr>
            <w:tcW w:type="dxa" w:w="2170"/>
          </w:tcPr>
          <w:p/>
        </w:tc>
      </w:tr>
      <w:tr>
        <w:trPr>
          <w:trHeight w:val="481" w:hRule="atLeast"/>
          <w:cantSplit/>
        </w:trPr>
        <w:tc>
          <w:tcPr>
            <w:tcW w:type="dxa" w:w="6116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Podział obiektu na strefy pożarowe (lit. g)</w:t>
            </w:r>
          </w:p>
        </w:tc>
        <w:tc>
          <w:tcPr>
            <w:tcW w:type="dxa" w:w="690"/>
          </w:tcPr>
          <w:p/>
        </w:tc>
        <w:tc>
          <w:tcPr>
            <w:tcW w:type="dxa" w:w="887"/>
          </w:tcPr>
          <w:p/>
        </w:tc>
        <w:tc>
          <w:tcPr>
            <w:tcW w:type="dxa" w:w="2170"/>
          </w:tcPr>
          <w:p/>
        </w:tc>
      </w:tr>
      <w:tr>
        <w:trPr>
          <w:trHeight w:val="481" w:hRule="atLeast"/>
          <w:cantSplit/>
        </w:trPr>
        <w:tc>
          <w:tcPr>
            <w:tcW w:type="dxa" w:w="6116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Warunki ewakuacji: kierunki i wyjścia ewakuacyjne (lit. h)</w:t>
            </w:r>
          </w:p>
        </w:tc>
        <w:tc>
          <w:tcPr>
            <w:tcW w:type="dxa" w:w="690"/>
          </w:tcPr>
          <w:p/>
        </w:tc>
        <w:tc>
          <w:tcPr>
            <w:tcW w:type="dxa" w:w="887"/>
          </w:tcPr>
          <w:p/>
        </w:tc>
        <w:tc>
          <w:tcPr>
            <w:tcW w:type="dxa" w:w="2170"/>
          </w:tcPr>
          <w:p/>
        </w:tc>
      </w:tr>
      <w:tr>
        <w:trPr>
          <w:trHeight w:val="481" w:hRule="atLeast"/>
          <w:cantSplit/>
        </w:trPr>
        <w:tc>
          <w:tcPr>
            <w:tcW w:type="dxa" w:w="6116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Urządzenia ppoż, gaśnice, kurki główne gazu, materiały niebezpieczne, elementy sterujące (lit. i)</w:t>
            </w:r>
          </w:p>
        </w:tc>
        <w:tc>
          <w:tcPr>
            <w:tcW w:type="dxa" w:w="690"/>
          </w:tcPr>
          <w:p/>
        </w:tc>
        <w:tc>
          <w:tcPr>
            <w:tcW w:type="dxa" w:w="887"/>
          </w:tcPr>
          <w:p/>
        </w:tc>
        <w:tc>
          <w:tcPr>
            <w:tcW w:type="dxa" w:w="2170"/>
          </w:tcPr>
          <w:p/>
        </w:tc>
      </w:tr>
      <w:tr>
        <w:trPr>
          <w:trHeight w:val="481" w:hRule="atLeast"/>
          <w:cantSplit/>
        </w:trPr>
        <w:tc>
          <w:tcPr>
            <w:tcW w:type="dxa" w:w="6116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Dojścia do dźwigów dla ekip ratowniczych (lit. j)</w:t>
            </w:r>
          </w:p>
        </w:tc>
        <w:tc>
          <w:tcPr>
            <w:tcW w:type="dxa" w:w="690"/>
          </w:tcPr>
          <w:p/>
        </w:tc>
        <w:tc>
          <w:tcPr>
            <w:tcW w:type="dxa" w:w="887"/>
          </w:tcPr>
          <w:p/>
        </w:tc>
        <w:tc>
          <w:tcPr>
            <w:tcW w:type="dxa" w:w="2170"/>
          </w:tcPr>
          <w:p/>
        </w:tc>
      </w:tr>
      <w:tr>
        <w:trPr>
          <w:trHeight w:val="481" w:hRule="atLeast"/>
          <w:cantSplit/>
        </w:trPr>
        <w:tc>
          <w:tcPr>
            <w:tcW w:type="dxa" w:w="6116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Hydranty zewnętrzne i inne źródła wody do celów ppoż (lit. k)</w:t>
            </w:r>
          </w:p>
        </w:tc>
        <w:tc>
          <w:tcPr>
            <w:tcW w:type="dxa" w:w="690"/>
          </w:tcPr>
          <w:p/>
        </w:tc>
        <w:tc>
          <w:tcPr>
            <w:tcW w:type="dxa" w:w="887"/>
          </w:tcPr>
          <w:p/>
        </w:tc>
        <w:tc>
          <w:tcPr>
            <w:tcW w:type="dxa" w:w="2170"/>
          </w:tcPr>
          <w:p/>
        </w:tc>
      </w:tr>
      <w:tr>
        <w:trPr>
          <w:trHeight w:val="481" w:hRule="atLeast"/>
          <w:cantSplit/>
        </w:trPr>
        <w:tc>
          <w:tcPr>
            <w:tcW w:type="dxa" w:w="6116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Drogi pożarowe i dojazdowe, wjazdy na teren ogrodzony (lit. l)</w:t>
            </w:r>
          </w:p>
        </w:tc>
        <w:tc>
          <w:tcPr>
            <w:tcW w:type="dxa" w:w="690"/>
          </w:tcPr>
          <w:p/>
        </w:tc>
        <w:tc>
          <w:tcPr>
            <w:tcW w:type="dxa" w:w="887"/>
          </w:tcPr>
          <w:p/>
        </w:tc>
        <w:tc>
          <w:tcPr>
            <w:tcW w:type="dxa" w:w="2170"/>
          </w:tcPr>
          <w:p/>
        </w:tc>
      </w:tr>
      <w:tr>
        <w:trPr>
          <w:trHeight w:val="481" w:hRule="atLeast"/>
          <w:cantSplit/>
        </w:trPr>
        <w:tc>
          <w:tcPr>
            <w:tcW w:type="dxa" w:w="6116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Rysunek elewacji z przebiegiem połączenia ściany oddzielenia ppoż. ze ścianą zewnętrzną, gdy ściana nie biegnie pionowo od terenu do dachu (zał. nr 1, uwaga 2)</w:t>
            </w:r>
          </w:p>
        </w:tc>
        <w:tc>
          <w:tcPr>
            <w:tcW w:type="dxa" w:w="690"/>
          </w:tcPr>
          <w:p/>
        </w:tc>
        <w:tc>
          <w:tcPr>
            <w:tcW w:type="dxa" w:w="887"/>
          </w:tcPr>
          <w:p/>
        </w:tc>
        <w:tc>
          <w:tcPr>
            <w:tcW w:type="dxa" w:w="2170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10. Osoby lub podmioty opracowujące instrukcję (§ 6 ust. 1 pkt 9)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Opracował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 i nazwisko albo firma, uprawnienia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opracowania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Zatwierdził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właściciel, zarządca lub użytkownik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zatwierdzenia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11. Aktualizacja (§ 6 ust. 7)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1381"/>
        <w:gridCol w:w="4340"/>
        <w:gridCol w:w="2367"/>
        <w:gridCol w:w="1775"/>
      </w:tblGrid>
      <w:tr>
        <w:trPr>
          <w:cantSplit/>
        </w:trPr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</w:t>
            </w:r>
          </w:p>
        </w:tc>
        <w:tc>
          <w:tcPr>
            <w:tcW w:type="dxa" w:w="4340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Powód: upływ 2 lat / zmiana sposobu użytkowania lub procesu technologicznego</w:t>
            </w:r>
          </w:p>
        </w:tc>
        <w:tc>
          <w:tcPr>
            <w:tcW w:type="dxa" w:w="236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Zakres zmian</w:t>
            </w:r>
          </w:p>
        </w:tc>
        <w:tc>
          <w:tcPr>
            <w:tcW w:type="dxa" w:w="177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Podpis</w:t>
            </w:r>
          </w:p>
        </w:tc>
      </w:tr>
      <w:tr>
        <w:trPr>
          <w:trHeight w:val="481" w:hRule="atLeast"/>
          <w:cantSplit/>
        </w:trPr>
        <w:tc>
          <w:tcPr>
            <w:tcW w:type="dxa" w:w="1381"/>
          </w:tcPr>
          <w:p/>
        </w:tc>
        <w:tc>
          <w:tcPr>
            <w:tcW w:type="dxa" w:w="4340"/>
          </w:tcPr>
          <w:p/>
        </w:tc>
        <w:tc>
          <w:tcPr>
            <w:tcW w:type="dxa" w:w="2367"/>
          </w:tcPr>
          <w:p/>
        </w:tc>
        <w:tc>
          <w:tcPr>
            <w:tcW w:type="dxa" w:w="1775"/>
          </w:tcPr>
          <w:p/>
        </w:tc>
      </w:tr>
      <w:tr>
        <w:trPr>
          <w:trHeight w:val="481" w:hRule="atLeast"/>
          <w:cantSplit/>
        </w:trPr>
        <w:tc>
          <w:tcPr>
            <w:tcW w:type="dxa" w:w="1381"/>
          </w:tcPr>
          <w:p/>
        </w:tc>
        <w:tc>
          <w:tcPr>
            <w:tcW w:type="dxa" w:w="4340"/>
          </w:tcPr>
          <w:p/>
        </w:tc>
        <w:tc>
          <w:tcPr>
            <w:tcW w:type="dxa" w:w="2367"/>
          </w:tcPr>
          <w:p/>
        </w:tc>
        <w:tc>
          <w:tcPr>
            <w:tcW w:type="dxa" w:w="1775"/>
          </w:tcPr>
          <w:p/>
        </w:tc>
      </w:tr>
      <w:tr>
        <w:trPr>
          <w:trHeight w:val="481" w:hRule="atLeast"/>
          <w:cantSplit/>
        </w:trPr>
        <w:tc>
          <w:tcPr>
            <w:tcW w:type="dxa" w:w="1381"/>
          </w:tcPr>
          <w:p/>
        </w:tc>
        <w:tc>
          <w:tcPr>
            <w:tcW w:type="dxa" w:w="4340"/>
          </w:tcPr>
          <w:p/>
        </w:tc>
        <w:tc>
          <w:tcPr>
            <w:tcW w:type="dxa" w:w="2367"/>
          </w:tcPr>
          <w:p/>
        </w:tc>
        <w:tc>
          <w:tcPr>
            <w:tcW w:type="dxa" w:w="1775"/>
          </w:tcPr>
          <w:p/>
        </w:tc>
      </w:tr>
      <w:tr>
        <w:trPr>
          <w:trHeight w:val="481" w:hRule="atLeast"/>
          <w:cantSplit/>
        </w:trPr>
        <w:tc>
          <w:tcPr>
            <w:tcW w:type="dxa" w:w="1381"/>
          </w:tcPr>
          <w:p/>
        </w:tc>
        <w:tc>
          <w:tcPr>
            <w:tcW w:type="dxa" w:w="4340"/>
          </w:tcPr>
          <w:p/>
        </w:tc>
        <w:tc>
          <w:tcPr>
            <w:tcW w:type="dxa" w:w="2367"/>
          </w:tcPr>
          <w:p/>
        </w:tc>
        <w:tc>
          <w:tcPr>
            <w:tcW w:type="dxa" w:w="1775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Instrukcja jest aktualizowana co najmniej raz na 2 lata oraz po takich zmianach sposobu użytkowania obiektu lub procesu technologicznego, które wpływają na zmianę warunków ochrony przeciwpożarowej. Następna aktualizacja najpóźniej dnia: ........................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12. Przechowywanie i przekazanie (§ 6 ust. 2–5 i 9)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instrukcja leży w miejscu dostępnym dla ekip ratowniczych: ........................ (ust. 9)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obiekt jest wymieniony w § 28 ust. 1: warunki ochrony ppoż. i plany przekazano komendantowi powiatowemu (miejskiemu) PSP dnia ........ (ust. 2)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komendant zwolnił z przekazania dokumentów pismem z dnia ........ (ust. 4)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dokumenty przechowywane tak, aby można je od razu wykorzystać w działaniach ratowniczych, także w formie elektronicznej (ust. 3 i 5)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13. Potwierdzenie zapoznania z instrukcją (§ 6 ust. 1 pkt 6)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591"/>
        <w:gridCol w:w="2959"/>
        <w:gridCol w:w="2565"/>
        <w:gridCol w:w="1381"/>
        <w:gridCol w:w="2367"/>
      </w:tblGrid>
      <w:tr>
        <w:trPr>
          <w:cantSplit/>
        </w:trPr>
        <w:tc>
          <w:tcPr>
            <w:tcW w:type="dxa" w:w="59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Lp.</w:t>
            </w:r>
          </w:p>
        </w:tc>
        <w:tc>
          <w:tcPr>
            <w:tcW w:type="dxa" w:w="295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Imię i nazwisko</w:t>
            </w:r>
          </w:p>
        </w:tc>
        <w:tc>
          <w:tcPr>
            <w:tcW w:type="dxa" w:w="256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Stanowisko, firma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</w:t>
            </w:r>
          </w:p>
        </w:tc>
        <w:tc>
          <w:tcPr>
            <w:tcW w:type="dxa" w:w="236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Podpis</w:t>
            </w:r>
          </w:p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1.</w:t>
            </w:r>
          </w:p>
        </w:tc>
        <w:tc>
          <w:tcPr>
            <w:tcW w:type="dxa" w:w="2959"/>
          </w:tcPr>
          <w:p/>
        </w:tc>
        <w:tc>
          <w:tcPr>
            <w:tcW w:type="dxa" w:w="2565"/>
          </w:tcPr>
          <w:p/>
        </w:tc>
        <w:tc>
          <w:tcPr>
            <w:tcW w:type="dxa" w:w="1381"/>
          </w:tcPr>
          <w:p/>
        </w:tc>
        <w:tc>
          <w:tcPr>
            <w:tcW w:type="dxa" w:w="2367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2.</w:t>
            </w:r>
          </w:p>
        </w:tc>
        <w:tc>
          <w:tcPr>
            <w:tcW w:type="dxa" w:w="2959"/>
          </w:tcPr>
          <w:p/>
        </w:tc>
        <w:tc>
          <w:tcPr>
            <w:tcW w:type="dxa" w:w="2565"/>
          </w:tcPr>
          <w:p/>
        </w:tc>
        <w:tc>
          <w:tcPr>
            <w:tcW w:type="dxa" w:w="1381"/>
          </w:tcPr>
          <w:p/>
        </w:tc>
        <w:tc>
          <w:tcPr>
            <w:tcW w:type="dxa" w:w="2367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3.</w:t>
            </w:r>
          </w:p>
        </w:tc>
        <w:tc>
          <w:tcPr>
            <w:tcW w:type="dxa" w:w="2959"/>
          </w:tcPr>
          <w:p/>
        </w:tc>
        <w:tc>
          <w:tcPr>
            <w:tcW w:type="dxa" w:w="2565"/>
          </w:tcPr>
          <w:p/>
        </w:tc>
        <w:tc>
          <w:tcPr>
            <w:tcW w:type="dxa" w:w="1381"/>
          </w:tcPr>
          <w:p/>
        </w:tc>
        <w:tc>
          <w:tcPr>
            <w:tcW w:type="dxa" w:w="2367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4.</w:t>
            </w:r>
          </w:p>
        </w:tc>
        <w:tc>
          <w:tcPr>
            <w:tcW w:type="dxa" w:w="2959"/>
          </w:tcPr>
          <w:p/>
        </w:tc>
        <w:tc>
          <w:tcPr>
            <w:tcW w:type="dxa" w:w="2565"/>
          </w:tcPr>
          <w:p/>
        </w:tc>
        <w:tc>
          <w:tcPr>
            <w:tcW w:type="dxa" w:w="1381"/>
          </w:tcPr>
          <w:p/>
        </w:tc>
        <w:tc>
          <w:tcPr>
            <w:tcW w:type="dxa" w:w="2367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5.</w:t>
            </w:r>
          </w:p>
        </w:tc>
        <w:tc>
          <w:tcPr>
            <w:tcW w:type="dxa" w:w="2959"/>
          </w:tcPr>
          <w:p/>
        </w:tc>
        <w:tc>
          <w:tcPr>
            <w:tcW w:type="dxa" w:w="2565"/>
          </w:tcPr>
          <w:p/>
        </w:tc>
        <w:tc>
          <w:tcPr>
            <w:tcW w:type="dxa" w:w="1381"/>
          </w:tcPr>
          <w:p/>
        </w:tc>
        <w:tc>
          <w:tcPr>
            <w:tcW w:type="dxa" w:w="2367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6.</w:t>
            </w:r>
          </w:p>
        </w:tc>
        <w:tc>
          <w:tcPr>
            <w:tcW w:type="dxa" w:w="2959"/>
          </w:tcPr>
          <w:p/>
        </w:tc>
        <w:tc>
          <w:tcPr>
            <w:tcW w:type="dxa" w:w="2565"/>
          </w:tcPr>
          <w:p/>
        </w:tc>
        <w:tc>
          <w:tcPr>
            <w:tcW w:type="dxa" w:w="1381"/>
          </w:tcPr>
          <w:p/>
        </w:tc>
        <w:tc>
          <w:tcPr>
            <w:tcW w:type="dxa" w:w="2367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7.</w:t>
            </w:r>
          </w:p>
        </w:tc>
        <w:tc>
          <w:tcPr>
            <w:tcW w:type="dxa" w:w="2959"/>
          </w:tcPr>
          <w:p/>
        </w:tc>
        <w:tc>
          <w:tcPr>
            <w:tcW w:type="dxa" w:w="2565"/>
          </w:tcPr>
          <w:p/>
        </w:tc>
        <w:tc>
          <w:tcPr>
            <w:tcW w:type="dxa" w:w="1381"/>
          </w:tcPr>
          <w:p/>
        </w:tc>
        <w:tc>
          <w:tcPr>
            <w:tcW w:type="dxa" w:w="2367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8.</w:t>
            </w:r>
          </w:p>
        </w:tc>
        <w:tc>
          <w:tcPr>
            <w:tcW w:type="dxa" w:w="2959"/>
          </w:tcPr>
          <w:p/>
        </w:tc>
        <w:tc>
          <w:tcPr>
            <w:tcW w:type="dxa" w:w="2565"/>
          </w:tcPr>
          <w:p/>
        </w:tc>
        <w:tc>
          <w:tcPr>
            <w:tcW w:type="dxa" w:w="1381"/>
          </w:tcPr>
          <w:p/>
        </w:tc>
        <w:tc>
          <w:tcPr>
            <w:tcW w:type="dxa" w:w="2367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9.</w:t>
            </w:r>
          </w:p>
        </w:tc>
        <w:tc>
          <w:tcPr>
            <w:tcW w:type="dxa" w:w="2959"/>
          </w:tcPr>
          <w:p/>
        </w:tc>
        <w:tc>
          <w:tcPr>
            <w:tcW w:type="dxa" w:w="2565"/>
          </w:tcPr>
          <w:p/>
        </w:tc>
        <w:tc>
          <w:tcPr>
            <w:tcW w:type="dxa" w:w="1381"/>
          </w:tcPr>
          <w:p/>
        </w:tc>
        <w:tc>
          <w:tcPr>
            <w:tcW w:type="dxa" w:w="2367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10.</w:t>
            </w:r>
          </w:p>
        </w:tc>
        <w:tc>
          <w:tcPr>
            <w:tcW w:type="dxa" w:w="2959"/>
          </w:tcPr>
          <w:p/>
        </w:tc>
        <w:tc>
          <w:tcPr>
            <w:tcW w:type="dxa" w:w="2565"/>
          </w:tcPr>
          <w:p/>
        </w:tc>
        <w:tc>
          <w:tcPr>
            <w:tcW w:type="dxa" w:w="1381"/>
          </w:tcPr>
          <w:p/>
        </w:tc>
        <w:tc>
          <w:tcPr>
            <w:tcW w:type="dxa" w:w="2367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W w:type="auto" w:w="0"/>
        <w:jc w:val="center"/>
        <w:tblLayout w:type="fixed"/>
        <w:tblLayout w:type="fixed"/>
        <w:tblCellMar>
          <w:top w:w="20" w:type="dxa"/>
          <w:left w:w="40" w:type="dxa"/>
          <w:bottom w:w="20" w:type="dxa"/>
          <w:right w:w="40" w:type="dxa"/>
        </w:tblCellMar>
        <w:tblLook w:firstColumn="1" w:firstRow="1" w:lastColumn="0" w:lastRow="0" w:noHBand="0" w:noVBand="1" w:val="04A0"/>
      </w:tblPr>
      <w:tblGrid>
        <w:gridCol w:w="4706"/>
        <w:gridCol w:w="453"/>
        <w:gridCol w:w="4706"/>
      </w:tblGrid>
      <w:tr>
        <w:trPr>
          <w:trHeight w:val="850" w:hRule="atLeast"/>
          <w:cantSplit/>
        </w:trPr>
        <w:tc>
          <w:tcPr>
            <w:tcW w:type="dxa" w:w="4706"/>
          </w:tcPr>
          <w:p/>
        </w:tc>
        <w:tc>
          <w:tcPr>
            <w:tcW w:type="dxa" w:w="453"/>
          </w:tcPr>
          <w:p/>
        </w:tc>
        <w:tc>
          <w:tcPr>
            <w:tcW w:type="dxa" w:w="4706"/>
          </w:tcPr>
          <w:p/>
        </w:tc>
      </w:tr>
      <w:tr>
        <w:trPr>
          <w:cantSplit/>
        </w:trPr>
        <w:tc>
          <w:tcPr>
            <w:tcW w:type="dxa" w:w="470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Opracował (data, podpis)</w:t>
            </w:r>
          </w:p>
        </w:tc>
        <w:tc>
          <w:tcPr>
            <w:tcW w:type="dxa" w:w="453"/>
          </w:tcPr>
          <w:p/>
        </w:tc>
        <w:tc>
          <w:tcPr>
            <w:tcW w:type="dxa" w:w="470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Zatwierdził (data, podpis)</w:t>
            </w:r>
          </w:p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Właściciele, zarządcy lub użytkownicy obiektów bądź ich części stanowiących odrębne strefy pożarowe, przeznaczonych do wykonywania funkcji użyteczności publicznej, zamieszkania zbiorowego, produkcyjnych, magazynowych oraz inwentarskich, zapewniają i wdrażają instrukcję bezpieczeństwa pożarowego (§ 6 ust. 1 rozporządzenia MSWiA z 7 czerwca 2010 r., t.j. Dz.U. 2023 poz. 822). Instrukcja powinna znajdować się w miejscach dostępnych dla ekip ratowniczych (ust. 9). Wzór nie jest drukiem urzędowym; przepisy go nie określają.</w:t>
      </w:r>
    </w:p>
    <w:sectPr w:rsidR="00FC693F" w:rsidRPr="0006063C" w:rsidSect="00034616">
      <w:footerReference w:type="default" r:id="rId9"/>
      <w:pgSz w:w="11906" w:h="16838"/>
      <w:pgMar w:top="907" w:right="1020" w:bottom="1134" w:left="1020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pBdr>
        <w:top w:val="single" w:sz="4" w:space="4" w:color="999999"/>
      </w:pBdr>
      <w:tabs>
        <w:tab w:pos="9865" w:val="right"/>
      </w:tabs>
      <w:spacing w:before="0" w:after="0" w:line="240" w:lineRule="auto"/>
    </w:pPr>
    <w:r>
      <w:rPr>
        <w:rFonts w:ascii="Arial" w:hAnsi="Arial" w:eastAsia="Arial"/>
        <w:b w:val="0"/>
        <w:i w:val="0"/>
        <w:color w:val="666666"/>
        <w:sz w:val="15"/>
      </w:rPr>
      <w:t>Dostosuj wzór do swojej umowy i stanu faktycznego.</w:t>
    </w:r>
    <w:r>
      <w:rPr>
        <w:rFonts w:ascii="Arial" w:hAnsi="Arial" w:eastAsia="Arial"/>
        <w:b w:val="0"/>
        <w:i w:val="0"/>
        <w:color w:val="888888"/>
        <w:sz w:val="15"/>
      </w:rPr>
      <w:tab/>
      <w:t xml:space="preserve">atestero.pl  ·  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888888"/>
        <w:sz w:val="15"/>
      </w:rPr>
      <w:t>/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Instrukcja Bezpieczeństwa Pożarowego</dc:title>
  <dc:subject/>
  <dc:creator>atestero.pl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