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 w:val="0"/>
        <w:spacing w:before="0" w:after="40" w:line="252" w:lineRule="auto"/>
        <w:jc w:val="center"/>
      </w:pPr>
      <w:r>
        <w:rPr>
          <w:rFonts w:ascii="Arial" w:hAnsi="Arial" w:eastAsia="Arial"/>
          <w:b/>
          <w:i w:val="0"/>
          <w:sz w:val="29"/>
        </w:rPr>
        <w:t>INSTRUKCJA BHP: DESKOWANIA I ROBOTY CIESIELSKIE</w:t>
      </w:r>
    </w:p>
    <w:p>
      <w:pPr>
        <w:keepNext w:val="0"/>
        <w:spacing w:before="0" w:after="160" w:line="252" w:lineRule="auto"/>
        <w:jc w:val="center"/>
      </w:pPr>
      <w:r>
        <w:rPr>
          <w:rFonts w:ascii="Arial" w:hAnsi="Arial" w:eastAsia="Arial"/>
          <w:b w:val="0"/>
          <w:i/>
          <w:color w:val="333333"/>
          <w:sz w:val="18"/>
        </w:rPr>
        <w:t>instrukcja stanowiskowa (art. 237⁴ § 2 Kodeksu pracy, § 41 rozporządzenia w sprawie ogólnych przepisów BHP)</w:t>
      </w: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Instrukcja nr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Wersja / zmiana nr</w:t>
            </w:r>
          </w:p>
        </w:tc>
        <w:tc>
          <w:tcPr>
            <w:tcW w:type="dxa" w:w="2438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Data opracowania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Obowiązuje od</w:t>
            </w:r>
          </w:p>
        </w:tc>
        <w:tc>
          <w:tcPr>
            <w:tcW w:type="dxa" w:w="2438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1. Pracodawca, maszyna i stanowisko</w:t>
      </w: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Pracodawca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nazwa i adres</w:t>
            </w:r>
          </w:p>
        </w:tc>
        <w:tc>
          <w:tcPr>
            <w:tcW w:type="dxa" w:w="7371"/>
            <w:gridSpan w:val="3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Maszyna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zakres robót: deskowanie stropu, ścian, słupów; system deskowań; więźba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Nr fabryczny lub ewidencyjny</w:t>
            </w:r>
          </w:p>
        </w:tc>
        <w:tc>
          <w:tcPr>
            <w:tcW w:type="dxa" w:w="2438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Stanowisko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kto obsługuje maszynę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Gdzie dostępna instrukcja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np. przy maszynie, w kontenerze brygady</w:t>
            </w:r>
          </w:p>
        </w:tc>
        <w:tc>
          <w:tcPr>
            <w:tcW w:type="dxa" w:w="2438"/>
          </w:tcPr>
          <w:p/>
        </w:tc>
      </w:tr>
    </w:tbl>
    <w:p>
      <w:pPr>
        <w:keepNext w:val="0"/>
        <w:spacing w:before="0" w:after="0" w:line="40" w:lineRule="exact"/>
      </w:pP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Opracował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imię, nazwisko, funkcja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Data i podpis</w:t>
            </w:r>
          </w:p>
        </w:tc>
        <w:tc>
          <w:tcPr>
            <w:tcW w:type="dxa" w:w="2438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Zatwierdził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pracodawca lub osoba upoważniona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Data i podpis</w:t>
            </w:r>
          </w:p>
        </w:tc>
        <w:tc>
          <w:tcPr>
            <w:tcW w:type="dxa" w:w="2438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instrukcja producenta (DTR) maszyny</w:t>
      </w:r>
      <w:r>
        <w:rPr>
          <w:rFonts w:ascii="Arial" w:hAnsi="Arial" w:eastAsia="Arial"/>
          <w:b w:val="0"/>
          <w:i w:val="0"/>
          <w:sz w:val="18"/>
        </w:rPr>
        <w:t xml:space="preserve"> (typ, wersja)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karta oceny ryzyka zawodowego dla stanowiska</w:t>
      </w:r>
      <w:r>
        <w:rPr>
          <w:rFonts w:ascii="Arial" w:hAnsi="Arial" w:eastAsia="Arial"/>
          <w:b w:val="0"/>
          <w:i w:val="0"/>
          <w:sz w:val="18"/>
        </w:rPr>
        <w:t xml:space="preserve"> (numer i data)</w:t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2. Zagrożenia przy obsłudze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zawalenie się deskowania lub stempli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upadek z wysokości z krawędzi deskowania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spadające narzędzia i elementy deskowania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skaleczenia piłą i gwoździami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przeciążenie przy przenoszeniu płyt i bali</w:t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3. Wymagania wobec pracownika i środki ochrony indywidualnej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szkolenie wstępne BHP (instruktaż ogólny i stanowiskowy) i aktualne szkolenie okresowe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aktualne orzeczenie lekarskie bez przeciwwskazań do pracy na stanowisku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zapoznanie z instrukcją producenta, oceną ryzyka i niniejszą instrukcją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hełm ochronny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obuwie ochronne z wkładką antyprzebiciową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rękawice ochronne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zasobnik na narzędzia (§ 192)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szelki bezpieczeństwa przy krawędziach bez balustrad</w:t>
      </w:r>
    </w:p>
    <w:p>
      <w:pPr>
        <w:keepNext w:val="0"/>
        <w:spacing w:before="0" w:after="0" w:line="20" w:lineRule="exact"/>
      </w:pPr>
      <w:r>
        <w:br w:type="page"/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4. Czynności przed rozpoczęciem pracy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ustal z kierownikiem robót kolejność montażu i demontażu elementów deskowania; decyduje o niej osoba kierująca robotami (§ 195 ust. 2 rozporządzenia w sprawie BHP podczas wykonywania robót budowlanych)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przygotuj środki zabezpieczające przed zawaleniem się konstrukcji usztywniających i rozpierających na czas montażu i demontażu (§ 195 ust. 1)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sprawdź, czy ekipa montażowa liczy co najmniej 2 osoby (§ 195 ust. 3)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zabierz zasobnik na narzędzia, z którego narzędzia nie wypadną (§ 192)</w:t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5. Zasady bezpiecznej pracy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długie przedmioty, np. deski i bale, podawaj ręcznie w pionie tylko do wysokości 3 m (§ 193)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z drabin pracuj tylko do wysokości 3 m (§ 194)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nie chodź po niestabilnych deskowaniach i nie opieraj się o balustrady (§ 190)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nie rozbieraj deskowania przed zgodą kierownika robót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elementy z demontażu odkładaj na stos, nie zrzucaj</w:t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6. Czynności po zakończeniu pracy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zabezpiecz rozpoczęty demontaż przed zawaleniem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usuń gwoździe z desek i ułóż je na stosie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zgłoś uszkodzone stemple, płyty i zamki</w:t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7. Zakazy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montaż lub demontaż deskowania w pojedynkę (§ 195 ust. 3)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roboty ciesielskie z drabiny powyżej 3 m (§ 194)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zrzucanie elementów deskowania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usuwanie stempli bez decyzji o kolejności demontażu</w:t>
      </w:r>
    </w:p>
    <w:p>
      <w:pPr>
        <w:keepNext w:val="0"/>
        <w:spacing w:before="0" w:after="0" w:line="20" w:lineRule="exact"/>
      </w:pPr>
      <w:r>
        <w:br w:type="page"/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8. Sytuacje awaryjne</w:t>
      </w:r>
    </w:p>
    <w:p>
      <w:pPr>
        <w:keepNext w:val="0"/>
        <w:spacing w:before="80" w:after="40" w:line="269" w:lineRule="auto"/>
      </w:pPr>
      <w:r>
        <w:rPr>
          <w:rFonts w:ascii="Arial" w:hAnsi="Arial" w:eastAsia="Arial"/>
          <w:b w:val="0"/>
          <w:i w:val="0"/>
          <w:sz w:val="19"/>
        </w:rPr>
        <w:t>Pracownik niezwłocznie zawiadamia przełożonego o zauważonym wypadku albo zagrożeniu życia lub zdrowia i ostrzega współpracowników oraz inne osoby w rejonie zagrożenia (art. 211 pkt 6 Kodeksu pracy). Przy bezpośrednim zagrożeniu dla zdrowia lub życia pracownik ma prawo powstrzymać się od wykonywania pracy, a jeśli to nie usuwa zagrożenia, oddalić się z miejsca zagrożenia, zawiadamiając niezwłocznie przełożonego (art. 210 § 1 i 2 Kodeksu pracy).</w:t>
      </w:r>
    </w:p>
    <w:tbl>
      <w:tblPr>
        <w:tblStyle w:val="TableGrid"/>
        <w:tblW w:type="auto" w:w="0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959"/>
        <w:gridCol w:w="6906"/>
      </w:tblGrid>
      <w:tr>
        <w:trPr>
          <w:cantSplit/>
        </w:trPr>
        <w:tc>
          <w:tcPr>
            <w:tcW w:type="dxa" w:w="2959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Sytuacja</w:t>
            </w:r>
          </w:p>
        </w:tc>
        <w:tc>
          <w:tcPr>
            <w:tcW w:type="dxa" w:w="6906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Co robi pracownik</w:t>
            </w:r>
          </w:p>
        </w:tc>
      </w:tr>
      <w:tr>
        <w:trPr>
          <w:trHeight w:val="481" w:hRule="atLeast"/>
          <w:cantSplit/>
        </w:trPr>
        <w:tc>
          <w:tcPr>
            <w:tcW w:type="dxa" w:w="2959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Ugięcie lub pęknięcie deskowania przy betonowaniu</w:t>
            </w:r>
          </w:p>
        </w:tc>
        <w:tc>
          <w:tcPr>
            <w:tcW w:type="dxa" w:w="6906"/>
          </w:tcPr>
          <w:p/>
        </w:tc>
      </w:tr>
      <w:tr>
        <w:trPr>
          <w:trHeight w:val="481" w:hRule="atLeast"/>
          <w:cantSplit/>
        </w:trPr>
        <w:tc>
          <w:tcPr>
            <w:tcW w:type="dxa" w:w="2959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Przewrócenie się stempla</w:t>
            </w:r>
          </w:p>
        </w:tc>
        <w:tc>
          <w:tcPr>
            <w:tcW w:type="dxa" w:w="6906"/>
          </w:tcPr>
          <w:p/>
        </w:tc>
      </w:tr>
      <w:tr>
        <w:trPr>
          <w:trHeight w:val="481" w:hRule="atLeast"/>
          <w:cantSplit/>
        </w:trPr>
        <w:tc>
          <w:tcPr>
            <w:tcW w:type="dxa" w:w="2959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Upadek osoby</w:t>
            </w:r>
          </w:p>
        </w:tc>
        <w:tc>
          <w:tcPr>
            <w:tcW w:type="dxa" w:w="6906"/>
          </w:tcPr>
          <w:p/>
        </w:tc>
      </w:tr>
    </w:tbl>
    <w:p>
      <w:pPr>
        <w:keepNext w:val="0"/>
        <w:spacing w:before="0" w:after="0" w:line="40" w:lineRule="exact"/>
      </w:pP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Numer alarmowy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Przełożony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imię, nazwisko, telefon</w:t>
            </w:r>
          </w:p>
        </w:tc>
        <w:tc>
          <w:tcPr>
            <w:tcW w:type="dxa" w:w="2438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Osoba udzielająca pierwszej pomocy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imię, nazwisko, telefon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Apteczka, gaśnica, wyłącznik zasilania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gdzie są</w:t>
            </w:r>
          </w:p>
        </w:tc>
        <w:tc>
          <w:tcPr>
            <w:tcW w:type="dxa" w:w="2438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9. Zmiany instrukcji</w:t>
      </w:r>
    </w:p>
    <w:tbl>
      <w:tblPr>
        <w:tblStyle w:val="TableGrid"/>
        <w:tblW w:type="auto" w:w="0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1578"/>
        <w:gridCol w:w="5130"/>
        <w:gridCol w:w="1775"/>
        <w:gridCol w:w="1381"/>
      </w:tblGrid>
      <w:tr>
        <w:trPr>
          <w:cantSplit/>
        </w:trPr>
        <w:tc>
          <w:tcPr>
            <w:tcW w:type="dxa" w:w="1578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Data</w:t>
            </w:r>
          </w:p>
        </w:tc>
        <w:tc>
          <w:tcPr>
            <w:tcW w:type="dxa" w:w="5130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Zakres zmiany i przyczyna</w:t>
            </w:r>
          </w:p>
        </w:tc>
        <w:tc>
          <w:tcPr>
            <w:tcW w:type="dxa" w:w="1775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Kto zmienił</w:t>
            </w:r>
          </w:p>
        </w:tc>
        <w:tc>
          <w:tcPr>
            <w:tcW w:type="dxa" w:w="1381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Podpis</w:t>
            </w:r>
          </w:p>
        </w:tc>
      </w:tr>
      <w:tr>
        <w:trPr>
          <w:trHeight w:val="481" w:hRule="atLeast"/>
          <w:cantSplit/>
        </w:trPr>
        <w:tc>
          <w:tcPr>
            <w:tcW w:type="dxa" w:w="1578"/>
          </w:tcPr>
          <w:p/>
        </w:tc>
        <w:tc>
          <w:tcPr>
            <w:tcW w:type="dxa" w:w="5130"/>
          </w:tcPr>
          <w:p/>
        </w:tc>
        <w:tc>
          <w:tcPr>
            <w:tcW w:type="dxa" w:w="1775"/>
          </w:tcPr>
          <w:p/>
        </w:tc>
        <w:tc>
          <w:tcPr>
            <w:tcW w:type="dxa" w:w="1381"/>
          </w:tcPr>
          <w:p/>
        </w:tc>
      </w:tr>
      <w:tr>
        <w:trPr>
          <w:trHeight w:val="481" w:hRule="atLeast"/>
          <w:cantSplit/>
        </w:trPr>
        <w:tc>
          <w:tcPr>
            <w:tcW w:type="dxa" w:w="1578"/>
          </w:tcPr>
          <w:p/>
        </w:tc>
        <w:tc>
          <w:tcPr>
            <w:tcW w:type="dxa" w:w="5130"/>
          </w:tcPr>
          <w:p/>
        </w:tc>
        <w:tc>
          <w:tcPr>
            <w:tcW w:type="dxa" w:w="1775"/>
          </w:tcPr>
          <w:p/>
        </w:tc>
        <w:tc>
          <w:tcPr>
            <w:tcW w:type="dxa" w:w="1381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10. Potwierdzenie zapoznania z instrukcją</w:t>
      </w:r>
    </w:p>
    <w:tbl>
      <w:tblPr>
        <w:tblStyle w:val="TableGrid"/>
        <w:tblW w:type="auto" w:w="0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591"/>
        <w:gridCol w:w="3157"/>
        <w:gridCol w:w="1973"/>
        <w:gridCol w:w="1183"/>
        <w:gridCol w:w="1381"/>
        <w:gridCol w:w="1578"/>
      </w:tblGrid>
      <w:tr>
        <w:trPr>
          <w:cantSplit/>
        </w:trPr>
        <w:tc>
          <w:tcPr>
            <w:tcW w:type="dxa" w:w="591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Lp.</w:t>
            </w:r>
          </w:p>
        </w:tc>
        <w:tc>
          <w:tcPr>
            <w:tcW w:type="dxa" w:w="3157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Imię i nazwisko</w:t>
            </w:r>
          </w:p>
        </w:tc>
        <w:tc>
          <w:tcPr>
            <w:tcW w:type="dxa" w:w="1973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Stanowisko</w:t>
            </w:r>
          </w:p>
        </w:tc>
        <w:tc>
          <w:tcPr>
            <w:tcW w:type="dxa" w:w="1183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Wersja instrukcji</w:t>
            </w:r>
          </w:p>
        </w:tc>
        <w:tc>
          <w:tcPr>
            <w:tcW w:type="dxa" w:w="1381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Data</w:t>
            </w:r>
          </w:p>
        </w:tc>
        <w:tc>
          <w:tcPr>
            <w:tcW w:type="dxa" w:w="1578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Podpis</w:t>
            </w:r>
          </w:p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1.</w:t>
            </w:r>
          </w:p>
        </w:tc>
        <w:tc>
          <w:tcPr>
            <w:tcW w:type="dxa" w:w="3157"/>
          </w:tcPr>
          <w:p/>
        </w:tc>
        <w:tc>
          <w:tcPr>
            <w:tcW w:type="dxa" w:w="1973"/>
          </w:tcPr>
          <w:p/>
        </w:tc>
        <w:tc>
          <w:tcPr>
            <w:tcW w:type="dxa" w:w="1183"/>
          </w:tcPr>
          <w:p/>
        </w:tc>
        <w:tc>
          <w:tcPr>
            <w:tcW w:type="dxa" w:w="1381"/>
          </w:tcPr>
          <w:p/>
        </w:tc>
        <w:tc>
          <w:tcPr>
            <w:tcW w:type="dxa" w:w="1578"/>
          </w:tcPr>
          <w:p/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2.</w:t>
            </w:r>
          </w:p>
        </w:tc>
        <w:tc>
          <w:tcPr>
            <w:tcW w:type="dxa" w:w="3157"/>
          </w:tcPr>
          <w:p/>
        </w:tc>
        <w:tc>
          <w:tcPr>
            <w:tcW w:type="dxa" w:w="1973"/>
          </w:tcPr>
          <w:p/>
        </w:tc>
        <w:tc>
          <w:tcPr>
            <w:tcW w:type="dxa" w:w="1183"/>
          </w:tcPr>
          <w:p/>
        </w:tc>
        <w:tc>
          <w:tcPr>
            <w:tcW w:type="dxa" w:w="1381"/>
          </w:tcPr>
          <w:p/>
        </w:tc>
        <w:tc>
          <w:tcPr>
            <w:tcW w:type="dxa" w:w="1578"/>
          </w:tcPr>
          <w:p/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3.</w:t>
            </w:r>
          </w:p>
        </w:tc>
        <w:tc>
          <w:tcPr>
            <w:tcW w:type="dxa" w:w="3157"/>
          </w:tcPr>
          <w:p/>
        </w:tc>
        <w:tc>
          <w:tcPr>
            <w:tcW w:type="dxa" w:w="1973"/>
          </w:tcPr>
          <w:p/>
        </w:tc>
        <w:tc>
          <w:tcPr>
            <w:tcW w:type="dxa" w:w="1183"/>
          </w:tcPr>
          <w:p/>
        </w:tc>
        <w:tc>
          <w:tcPr>
            <w:tcW w:type="dxa" w:w="1381"/>
          </w:tcPr>
          <w:p/>
        </w:tc>
        <w:tc>
          <w:tcPr>
            <w:tcW w:type="dxa" w:w="1578"/>
          </w:tcPr>
          <w:p/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4.</w:t>
            </w:r>
          </w:p>
        </w:tc>
        <w:tc>
          <w:tcPr>
            <w:tcW w:type="dxa" w:w="3157"/>
          </w:tcPr>
          <w:p/>
        </w:tc>
        <w:tc>
          <w:tcPr>
            <w:tcW w:type="dxa" w:w="1973"/>
          </w:tcPr>
          <w:p/>
        </w:tc>
        <w:tc>
          <w:tcPr>
            <w:tcW w:type="dxa" w:w="1183"/>
          </w:tcPr>
          <w:p/>
        </w:tc>
        <w:tc>
          <w:tcPr>
            <w:tcW w:type="dxa" w:w="1381"/>
          </w:tcPr>
          <w:p/>
        </w:tc>
        <w:tc>
          <w:tcPr>
            <w:tcW w:type="dxa" w:w="1578"/>
          </w:tcPr>
          <w:p/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5.</w:t>
            </w:r>
          </w:p>
        </w:tc>
        <w:tc>
          <w:tcPr>
            <w:tcW w:type="dxa" w:w="3157"/>
          </w:tcPr>
          <w:p/>
        </w:tc>
        <w:tc>
          <w:tcPr>
            <w:tcW w:type="dxa" w:w="1973"/>
          </w:tcPr>
          <w:p/>
        </w:tc>
        <w:tc>
          <w:tcPr>
            <w:tcW w:type="dxa" w:w="1183"/>
          </w:tcPr>
          <w:p/>
        </w:tc>
        <w:tc>
          <w:tcPr>
            <w:tcW w:type="dxa" w:w="1381"/>
          </w:tcPr>
          <w:p/>
        </w:tc>
        <w:tc>
          <w:tcPr>
            <w:tcW w:type="dxa" w:w="1578"/>
          </w:tcPr>
          <w:p/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6.</w:t>
            </w:r>
          </w:p>
        </w:tc>
        <w:tc>
          <w:tcPr>
            <w:tcW w:type="dxa" w:w="3157"/>
          </w:tcPr>
          <w:p/>
        </w:tc>
        <w:tc>
          <w:tcPr>
            <w:tcW w:type="dxa" w:w="1973"/>
          </w:tcPr>
          <w:p/>
        </w:tc>
        <w:tc>
          <w:tcPr>
            <w:tcW w:type="dxa" w:w="1183"/>
          </w:tcPr>
          <w:p/>
        </w:tc>
        <w:tc>
          <w:tcPr>
            <w:tcW w:type="dxa" w:w="1381"/>
          </w:tcPr>
          <w:p/>
        </w:tc>
        <w:tc>
          <w:tcPr>
            <w:tcW w:type="dxa" w:w="1578"/>
          </w:tcPr>
          <w:p/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7.</w:t>
            </w:r>
          </w:p>
        </w:tc>
        <w:tc>
          <w:tcPr>
            <w:tcW w:type="dxa" w:w="3157"/>
          </w:tcPr>
          <w:p/>
        </w:tc>
        <w:tc>
          <w:tcPr>
            <w:tcW w:type="dxa" w:w="1973"/>
          </w:tcPr>
          <w:p/>
        </w:tc>
        <w:tc>
          <w:tcPr>
            <w:tcW w:type="dxa" w:w="1183"/>
          </w:tcPr>
          <w:p/>
        </w:tc>
        <w:tc>
          <w:tcPr>
            <w:tcW w:type="dxa" w:w="1381"/>
          </w:tcPr>
          <w:p/>
        </w:tc>
        <w:tc>
          <w:tcPr>
            <w:tcW w:type="dxa" w:w="1578"/>
          </w:tcPr>
          <w:p/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8.</w:t>
            </w:r>
          </w:p>
        </w:tc>
        <w:tc>
          <w:tcPr>
            <w:tcW w:type="dxa" w:w="3157"/>
          </w:tcPr>
          <w:p/>
        </w:tc>
        <w:tc>
          <w:tcPr>
            <w:tcW w:type="dxa" w:w="1973"/>
          </w:tcPr>
          <w:p/>
        </w:tc>
        <w:tc>
          <w:tcPr>
            <w:tcW w:type="dxa" w:w="1183"/>
          </w:tcPr>
          <w:p/>
        </w:tc>
        <w:tc>
          <w:tcPr>
            <w:tcW w:type="dxa" w:w="1381"/>
          </w:tcPr>
          <w:p/>
        </w:tc>
        <w:tc>
          <w:tcPr>
            <w:tcW w:type="dxa" w:w="1578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 w:val="0"/>
        <w:spacing w:before="80" w:after="40" w:line="269" w:lineRule="auto"/>
        <w:jc w:val="both"/>
      </w:pPr>
      <w:r>
        <w:rPr>
          <w:rFonts w:ascii="Arial" w:hAnsi="Arial" w:eastAsia="Arial"/>
          <w:b w:val="0"/>
          <w:i w:val="0"/>
          <w:color w:val="333333"/>
          <w:sz w:val="15"/>
        </w:rPr>
        <w:t>Pracodawca wydaje szczegółowe instrukcje i wskazówki dotyczące BHP na stanowiskach pracy (art. 237⁴ § 2 Kodeksu pracy), a pracownik potwierdza w postaci papierowej lub elektronicznej zapoznanie się z przepisami i zasadami BHP (art. 237⁴ § 3). Instrukcje dotyczące obsługi maszyn i innych urządzeń technicznych pracodawca udostępnia pracownikom do stałego korzystania; powinny w sposób zrozumiały wskazywać czynności przed rozpoczęciem pracy, zasady i sposoby bezpiecznego wykonywania pracy, czynności po jej zakończeniu oraz zasady postępowania w sytuacjach awaryjnych (§ 41 ust. 1 pkt 2 i ust. 2 rozporządzenia w sprawie ogólnych przepisów BHP). Treść techniczną dostosuj do instrukcji producenta i oceny ryzyka zawodowego.</w:t>
      </w:r>
    </w:p>
    <w:sectPr w:rsidR="00FC693F" w:rsidRPr="0006063C" w:rsidSect="00034616">
      <w:footerReference w:type="default" r:id="rId9"/>
      <w:pgSz w:w="11906" w:h="16838"/>
      <w:pgMar w:top="907" w:right="1020" w:bottom="1134" w:left="1020" w:header="720" w:footer="51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keepNext w:val="0"/>
      <w:pBdr>
        <w:top w:val="single" w:sz="4" w:space="4" w:color="999999"/>
      </w:pBdr>
      <w:tabs>
        <w:tab w:pos="9865" w:val="right"/>
      </w:tabs>
      <w:spacing w:before="0" w:after="0" w:line="240" w:lineRule="auto"/>
    </w:pPr>
    <w:r>
      <w:rPr>
        <w:rFonts w:ascii="Arial" w:hAnsi="Arial" w:eastAsia="Arial"/>
        <w:b w:val="0"/>
        <w:i w:val="0"/>
        <w:color w:val="666666"/>
        <w:sz w:val="15"/>
      </w:rPr>
      <w:t>Dostosuj wzór do swojej umowy i stanu faktycznego.</w:t>
    </w:r>
    <w:r>
      <w:rPr>
        <w:rFonts w:ascii="Arial" w:hAnsi="Arial" w:eastAsia="Arial"/>
        <w:b w:val="0"/>
        <w:i w:val="0"/>
        <w:color w:val="888888"/>
        <w:sz w:val="15"/>
      </w:rPr>
      <w:tab/>
      <w:t xml:space="preserve">atestero.pl  ·  </w:t>
    </w:r>
    <w:r>
      <w:rPr>
        <w:rFonts w:ascii="Arial" w:hAnsi="Arial" w:eastAsia="Arial"/>
        <w:b w:val="0"/>
        <w:i w:val="0"/>
        <w:color w:val="666666"/>
        <w:sz w:val="15"/>
      </w:rPr>
      <w:fldChar w:fldCharType="begin"/>
      <w:instrText xml:space="preserve"> PAGE </w:instrText>
      <w:fldChar w:fldCharType="separate"/>
      <w:t>1</w:t>
      <w:fldChar w:fldCharType="end"/>
    </w:r>
    <w:r>
      <w:rPr>
        <w:rFonts w:ascii="Arial" w:hAnsi="Arial" w:eastAsia="Arial"/>
        <w:b w:val="0"/>
        <w:i w:val="0"/>
        <w:color w:val="888888"/>
        <w:sz w:val="15"/>
      </w:rPr>
      <w:t>/</w:t>
    </w:r>
    <w:r>
      <w:rPr>
        <w:rFonts w:ascii="Arial" w:hAnsi="Arial" w:eastAsia="Arial"/>
        <w:b w:val="0"/>
        <w:i w:val="0"/>
        <w:color w:val="666666"/>
        <w:sz w:val="15"/>
      </w:rPr>
      <w:fldChar w:fldCharType="begin"/>
      <w:instrText xml:space="preserve"> NUMPAGES </w:instrText>
      <w:fldChar w:fldCharType="separate"/>
      <w:t>1</w: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Instrukcja Bhp: Deskowania I Roboty Ciesielskie</dc:title>
  <dc:subject/>
  <dc:creator>atestero.pl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pl-PL</dc:language>
</cp:coreProperties>
</file>