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40" w:line="252" w:lineRule="auto"/>
        <w:jc w:val="center"/>
      </w:pPr>
      <w:r>
        <w:rPr>
          <w:rFonts w:ascii="Arial" w:hAnsi="Arial" w:eastAsia="Arial"/>
          <w:b/>
          <w:i w:val="0"/>
          <w:sz w:val="29"/>
        </w:rPr>
        <w:t>INSTRUKCJA BHP: ROBOTY DEKARSKIE I IZOLACYJNE</w:t>
      </w:r>
    </w:p>
    <w:p>
      <w:pPr>
        <w:keepNext w:val="0"/>
        <w:spacing w:before="0" w:after="160" w:line="252" w:lineRule="auto"/>
        <w:jc w:val="center"/>
      </w:pPr>
      <w:r>
        <w:rPr>
          <w:rFonts w:ascii="Arial" w:hAnsi="Arial" w:eastAsia="Arial"/>
          <w:b w:val="0"/>
          <w:i/>
          <w:color w:val="333333"/>
          <w:sz w:val="18"/>
        </w:rPr>
        <w:t>instrukcja stanowiskowa (art. 237⁴ § 2 Kodeksu pracy, § 41 rozporządzenia w sprawie ogólnych przepisów BHP)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Instrukcja nr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Wersja / zmiana nr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opracowania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Obowiązuje od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1. Pracodawca, maszyna i stanowisko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Pracodawca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nazwa i adres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Maszyna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dach: rodzaj pokrycia, nachylenie, wysokość okapu; masy bitumiczne, palnik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Nr fabryczny lub ewidencyjny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Stanowisko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kto obsługuje maszynę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Gdzie dostępna instrukcja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np. przy maszynie, w kontenerze brygady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Opracował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funkcja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i podpis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Zatwierdził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pracodawca lub osoba upoważniona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i podpis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instrukcja producenta (DTR) maszyny</w:t>
      </w:r>
      <w:r>
        <w:rPr>
          <w:rFonts w:ascii="Arial" w:hAnsi="Arial" w:eastAsia="Arial"/>
          <w:b w:val="0"/>
          <w:i w:val="0"/>
          <w:sz w:val="18"/>
        </w:rPr>
        <w:t xml:space="preserve"> (typ, wersja)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karta oceny ryzyka zawodowego dla stanowiska</w:t>
      </w:r>
      <w:r>
        <w:rPr>
          <w:rFonts w:ascii="Arial" w:hAnsi="Arial" w:eastAsia="Arial"/>
          <w:b w:val="0"/>
          <w:i w:val="0"/>
          <w:sz w:val="18"/>
        </w:rPr>
        <w:t xml:space="preserve"> (numer i data)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2. Zagrożenia przy obsłudze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upadek z dachu i przez świetliki lub słabe pokrycie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oparzenia gorącą masą bitumiczną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pożar przy podgrzewaniu mas i pracy palnikiem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opary rozpuszczalników w pomieszczeniach zamkniętych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spadające materiały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3. Wymagania wobec pracownika i środki ochrony indywidualnej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szkolenie wstępne BHP (instruktaż ogólny i stanowiskowy) i aktualne szkolenie okresowe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aktualne orzeczenie lekarskie bez przeciwwskazań do pracy na stanowisku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zapoznanie z instrukcją producenta, oceną ryzyka i niniejszą instrukcją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szelki bezpieczeństwa z linką, gdy krawędź dachu nie ma zabezpieczenia zbiorowego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hełm ochronny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obuwie z podeszwą przeciwpoślizgową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rękawice i odzież chroniące przed gorącą masą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ochrona dróg oddechowych przy rozpuszczalnikach, jeśli wynika to z oceny ryzyka</w:t>
      </w: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4. Czynności przed rozpoczęciem pracy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sprawdź, czy krawędź dachu ma balustradę albo czy jest punkt kotwiczenia do szelek (§ 133 i § 15 ust. 2 rozporządzenia w sprawie BHP podczas wykonywania robót budowlanych)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na dachu, który nie utrzyma osoby, pracuj tylko z mostków i kładek (§ 236)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sprawdź kocioł do masy bitumicznej: przystosowany do podgrzewania, z pokrywą, napełniony najwyżej do 3/4 wysokości (§ 237 ust. 1, 2 i 4)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przygotuj gaśnicę i usuń materiały palne z miejsca podgrzewania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przy pracy wewnątrz zbiorników lub pomieszczeń zamkniętych z rozpuszczalnikami zapewnij intensywną wymianę powietrza, instruktaż i asekurację z zewnątrz (§ 239 ust. 1)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5. Zasady bezpiecznej pracy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masy bitumiczne przewoź tylko w szczelnie zamkniętych zbiornikach (§ 237 ust. 3)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nie podgrzewaj masy w beczkach i pojemnikach do jej przechowywania (§ 237 ust. 5)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asfalt z benzyną mieszaj co najmniej 50 m od otwartego ognia, drewnianym mieszadłem, wlewając podgrzany asfalt do benzyny przy stałym mieszaniu (§ 238 ust. 1 i 2)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materiały na dachu składuj tak, żeby nie zsunęły się z połaci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przy pracy wzdłuż krawędzi przypinaj się do liny ochronnej albo prowadnicy (§ 138)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6. Czynności po zakończeniu pracy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wygaś palnik, zamknij butlę i sprawdź miejsce pracy pod kątem tlących się materiałów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zabezpiecz kocioł z masą przed przewróceniem i dostępem osób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zdejmij z połaci luźne materiały i narzędzia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7. Zakazy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wlewanie benzyny do asfaltu (§ 238 ust. 3)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rozcieńczanie asfaltu benzyną etylizowaną albo benzenem (§ 238 ust. 4)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podgrzewanie masy bitumicznej w beczkach (§ 237 ust. 5)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wchodzenie na pokrycie o niepewnej wytrzymałości bez mostków i kładek (§ 236)</w:t>
      </w: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8. Sytuacje awaryjne</w:t>
      </w: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Pracownik niezwłocznie zawiadamia przełożonego o zauważonym wypadku albo zagrożeniu życia lub zdrowia i ostrzega współpracowników oraz inne osoby w rejonie zagrożenia (art. 211 pkt 6 Kodeksu pracy). Przy bezpośrednim zagrożeniu dla zdrowia lub życia pracownik ma prawo powstrzymać się od wykonywania pracy, a jeśli to nie usuwa zagrożenia, oddalić się z miejsca zagrożenia, zawiadamiając niezwłocznie przełożonego (art. 210 § 1 i 2 Kodeksu pracy).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959"/>
        <w:gridCol w:w="6906"/>
      </w:tblGrid>
      <w:tr>
        <w:trPr>
          <w:cantSplit/>
        </w:trPr>
        <w:tc>
          <w:tcPr>
            <w:tcW w:type="dxa" w:w="295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Sytuacja</w:t>
            </w:r>
          </w:p>
        </w:tc>
        <w:tc>
          <w:tcPr>
            <w:tcW w:type="dxa" w:w="6906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Co robi pracownik</w:t>
            </w:r>
          </w:p>
        </w:tc>
      </w:tr>
      <w:tr>
        <w:trPr>
          <w:trHeight w:val="481" w:hRule="atLeast"/>
          <w:cantSplit/>
        </w:trPr>
        <w:tc>
          <w:tcPr>
            <w:tcW w:type="dxa" w:w="295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Zapalenie się masy lub pokrycia</w:t>
            </w:r>
          </w:p>
        </w:tc>
        <w:tc>
          <w:tcPr>
            <w:tcW w:type="dxa" w:w="6906"/>
          </w:tcPr>
          <w:p/>
        </w:tc>
      </w:tr>
      <w:tr>
        <w:trPr>
          <w:trHeight w:val="481" w:hRule="atLeast"/>
          <w:cantSplit/>
        </w:trPr>
        <w:tc>
          <w:tcPr>
            <w:tcW w:type="dxa" w:w="295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Oparzenie gorącą masą</w:t>
            </w:r>
          </w:p>
        </w:tc>
        <w:tc>
          <w:tcPr>
            <w:tcW w:type="dxa" w:w="6906"/>
          </w:tcPr>
          <w:p/>
        </w:tc>
      </w:tr>
      <w:tr>
        <w:trPr>
          <w:trHeight w:val="481" w:hRule="atLeast"/>
          <w:cantSplit/>
        </w:trPr>
        <w:tc>
          <w:tcPr>
            <w:tcW w:type="dxa" w:w="295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Upadek z dachu</w:t>
            </w:r>
          </w:p>
        </w:tc>
        <w:tc>
          <w:tcPr>
            <w:tcW w:type="dxa" w:w="6906"/>
          </w:tcPr>
          <w:p/>
        </w:tc>
      </w:tr>
      <w:tr>
        <w:trPr>
          <w:trHeight w:val="481" w:hRule="atLeast"/>
          <w:cantSplit/>
        </w:trPr>
        <w:tc>
          <w:tcPr>
            <w:tcW w:type="dxa" w:w="295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Złe samopoczucie od oparów</w:t>
            </w:r>
          </w:p>
        </w:tc>
        <w:tc>
          <w:tcPr>
            <w:tcW w:type="dxa" w:w="6906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Numer alarmowy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Przełożony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telefon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Osoba udzielająca pierwszej pomocy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telefon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Apteczka, gaśnica, wyłącznik zasilania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gdzie są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9. Zmiany instrukcji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1578"/>
        <w:gridCol w:w="5130"/>
        <w:gridCol w:w="1775"/>
        <w:gridCol w:w="1381"/>
      </w:tblGrid>
      <w:tr>
        <w:trPr>
          <w:cantSplit/>
        </w:trPr>
        <w:tc>
          <w:tcPr>
            <w:tcW w:type="dxa" w:w="1578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Data</w:t>
            </w:r>
          </w:p>
        </w:tc>
        <w:tc>
          <w:tcPr>
            <w:tcW w:type="dxa" w:w="5130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Zakres zmiany i przyczyna</w:t>
            </w:r>
          </w:p>
        </w:tc>
        <w:tc>
          <w:tcPr>
            <w:tcW w:type="dxa" w:w="177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Kto zmienił</w:t>
            </w:r>
          </w:p>
        </w:tc>
        <w:tc>
          <w:tcPr>
            <w:tcW w:type="dxa" w:w="138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Podpis</w:t>
            </w:r>
          </w:p>
        </w:tc>
      </w:tr>
      <w:tr>
        <w:trPr>
          <w:trHeight w:val="481" w:hRule="atLeast"/>
          <w:cantSplit/>
        </w:trPr>
        <w:tc>
          <w:tcPr>
            <w:tcW w:type="dxa" w:w="1578"/>
          </w:tcPr>
          <w:p/>
        </w:tc>
        <w:tc>
          <w:tcPr>
            <w:tcW w:type="dxa" w:w="5130"/>
          </w:tcPr>
          <w:p/>
        </w:tc>
        <w:tc>
          <w:tcPr>
            <w:tcW w:type="dxa" w:w="1775"/>
          </w:tcPr>
          <w:p/>
        </w:tc>
        <w:tc>
          <w:tcPr>
            <w:tcW w:type="dxa" w:w="1381"/>
          </w:tcPr>
          <w:p/>
        </w:tc>
      </w:tr>
      <w:tr>
        <w:trPr>
          <w:trHeight w:val="481" w:hRule="atLeast"/>
          <w:cantSplit/>
        </w:trPr>
        <w:tc>
          <w:tcPr>
            <w:tcW w:type="dxa" w:w="1578"/>
          </w:tcPr>
          <w:p/>
        </w:tc>
        <w:tc>
          <w:tcPr>
            <w:tcW w:type="dxa" w:w="5130"/>
          </w:tcPr>
          <w:p/>
        </w:tc>
        <w:tc>
          <w:tcPr>
            <w:tcW w:type="dxa" w:w="1775"/>
          </w:tcPr>
          <w:p/>
        </w:tc>
        <w:tc>
          <w:tcPr>
            <w:tcW w:type="dxa" w:w="1381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10. Potwierdzenie zapoznania z instrukcją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591"/>
        <w:gridCol w:w="3157"/>
        <w:gridCol w:w="1973"/>
        <w:gridCol w:w="1183"/>
        <w:gridCol w:w="1381"/>
        <w:gridCol w:w="1578"/>
      </w:tblGrid>
      <w:tr>
        <w:trPr>
          <w:cantSplit/>
        </w:trPr>
        <w:tc>
          <w:tcPr>
            <w:tcW w:type="dxa" w:w="59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Lp.</w:t>
            </w:r>
          </w:p>
        </w:tc>
        <w:tc>
          <w:tcPr>
            <w:tcW w:type="dxa" w:w="3157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Imię i nazwisko</w:t>
            </w:r>
          </w:p>
        </w:tc>
        <w:tc>
          <w:tcPr>
            <w:tcW w:type="dxa" w:w="197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Stanowisko</w:t>
            </w:r>
          </w:p>
        </w:tc>
        <w:tc>
          <w:tcPr>
            <w:tcW w:type="dxa" w:w="118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Wersja instrukcji</w:t>
            </w:r>
          </w:p>
        </w:tc>
        <w:tc>
          <w:tcPr>
            <w:tcW w:type="dxa" w:w="138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Data</w:t>
            </w:r>
          </w:p>
        </w:tc>
        <w:tc>
          <w:tcPr>
            <w:tcW w:type="dxa" w:w="1578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Podpis</w:t>
            </w:r>
          </w:p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2.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3.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4.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5.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6.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7.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8.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Pracodawca wydaje szczegółowe instrukcje i wskazówki dotyczące BHP na stanowiskach pracy (art. 237⁴ § 2 Kodeksu pracy), a pracownik potwierdza w postaci papierowej lub elektronicznej zapoznanie się z przepisami i zasadami BHP (art. 237⁴ § 3). Instrukcje dotyczące obsługi maszyn i innych urządzeń technicznych pracodawca udostępnia pracownikom do stałego korzystania; powinny w sposób zrozumiały wskazywać czynności przed rozpoczęciem pracy, zasady i sposoby bezpiecznego wykonywania pracy, czynności po jej zakończeniu oraz zasady postępowania w sytuacjach awaryjnych (§ 41 ust. 1 pkt 2 i ust. 2 rozporządzenia w sprawie ogólnych przepisów BHP). Treść techniczną dostosuj do instrukcji producenta i oceny ryzyka zawodowego.</w:t>
      </w:r>
    </w:p>
    <w:sectPr w:rsidR="00FC693F" w:rsidRPr="0006063C" w:rsidSect="00034616">
      <w:footerReference w:type="default" r:id="rId9"/>
      <w:pgSz w:w="11906" w:h="16838"/>
      <w:pgMar w:top="907" w:right="1020" w:bottom="1134" w:left="1020" w:header="72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pBdr>
        <w:top w:val="single" w:sz="4" w:space="4" w:color="999999"/>
      </w:pBdr>
      <w:tabs>
        <w:tab w:pos="9865" w:val="right"/>
      </w:tabs>
      <w:spacing w:before="0" w:after="0" w:line="240" w:lineRule="auto"/>
    </w:pPr>
    <w:r>
      <w:rPr>
        <w:rFonts w:ascii="Arial" w:hAnsi="Arial" w:eastAsia="Arial"/>
        <w:b w:val="0"/>
        <w:i w:val="0"/>
        <w:color w:val="666666"/>
        <w:sz w:val="15"/>
      </w:rPr>
      <w:t>Dostosuj wzór do swojej umowy i stanu faktycznego.</w:t>
    </w:r>
    <w:r>
      <w:rPr>
        <w:rFonts w:ascii="Arial" w:hAnsi="Arial" w:eastAsia="Arial"/>
        <w:b w:val="0"/>
        <w:i w:val="0"/>
        <w:color w:val="888888"/>
        <w:sz w:val="15"/>
      </w:rPr>
      <w:tab/>
      <w:t xml:space="preserve">atestero.pl  ·  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Arial" w:hAnsi="Arial" w:eastAsia="Arial"/>
        <w:b w:val="0"/>
        <w:i w:val="0"/>
        <w:color w:val="888888"/>
        <w:sz w:val="15"/>
      </w:rPr>
      <w:t>/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Instrukcja Bhp: Roboty Dekarskie I Izolacyjne</dc:title>
  <dc:subject/>
  <dc:creator>atestero.pl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