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RÓWNIARKA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równiarka: producent, typ, masa, długość lemiesza, osprzęt (zrywak, spycharka czołowa)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najechanie na osobę przy cofaniu i ograniczonej widoczności z kabiny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lemieszem przy obrocie, przesuwie bocznym i wysunięciu na skarpę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przechył lub przewrócenie przy rowie, skarpie albo krawędzi nasypu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potrącenie przez pojazdy przy pracy w pasie drogowym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uszkodzenie podziemnego uzbrojenia zrywakiem albo lemieszem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zbliżenie do napowietrznej linii energetycznej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hałas, drgania i pył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i hełm poza kabiną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 według oceny ryzyka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pas bezpieczeństwa w kabinie z ramą ROPS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uprawnienia: wpis w książce operatora na równiarki (zał. nr 1 gr. I lp. 7, klasa I)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obejdź maszynę: wycieki, opony, lemiesz i jego mocowanie, zrywak, oświetlenie, lusterka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zasady pracy i sygnały ostrzegawcze od osoby nadzorującej (§ 7 ust. 1 rozp.,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od kierownika robót przebieg uzbrojenia i odległości bezpiecznej pracy ustalone z zarządcami sieci (§ 8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odległość od napowietrznych linii energetycznych (§ 55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hamulce, układ kierowniczy, sygnał cofania i wyłącznik awaryjny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wysuwaj lemiesza poza krawędź klina odłamu (§ 7 ust. 3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pracuj na gruntach gliniastych w czasie ulewnego deszczu (§ 7 ust. 3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skarpach i przy rowach nie przekraczaj nachylenia z dokumentacji maszyny (§ 10 ust. 1 i ust. 2 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obracaj i przesuwaj lemiesz tylko, gdy w jego zasięgu nie ma ludzi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cofaj tylko przy widocznej strefie za maszyną albo z sygnalistą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pasie drogowym pracuj według oznakowania robót; przy słabej widoczności tylko na oświetlonym miejscu (§ 4 ust. 2 i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odkryciu instalacji albo nieznanego przedmiotu przerwij pracę i zawiadom nadzór (§ 8 ust. 2 i 3)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odstaw równiarkę na płaskim terenie poza klinem odłamu i drogami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opuść lemiesz i zrywak na ziemię, wyłącz silnik, wyjmij kluczyk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maszynę przed uruchomieniem przez osoby nieupoważnione (§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i wpisz godziny pracy w karcie pracy sprzętu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naprawa, czyszczenie i konserwacja maszyny w ruchu (§ 2 ust. 1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zmiany konstrukcyjne maszyny (§ 2 ust. 1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przewożenie osób na maszynie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osób przy naciągniętej linie wciągarki przy załadunku (§ 6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opuszczanie kabiny przy pracującym silniku i włączonym napędzie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Przechył lub zsunięcie maszyny ze skarpy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Uszkodzenie gazociągu lub kabla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Wypadek osoby w strefie pracy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Zasady pracy maszyn do robót ziemnych i drogowych: § 2–8 i 10 rozporządzenia z 20 września 2001 r. (t.j. Dz.U. 2018 poz. 583); wpis operatora: § 23 i zał. nr 1 gr. I lp. 7 (Dz.U. 2020 poz. 1461, Dz.U. 2023 poz. 291). Linie energetyczne: § 55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Równiarka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