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WALEC DROGOWY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walec drogowy: producent, typ (tandemowy, jednobębnowy, ogumiony, okołkowany), masa, wibracja / oscylacja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najechanie na osobę, zwłaszcza przy jeździe wstecz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walca na krawędzi nasypu, skarpy albo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pojazdy przy pracy w pasie drogowym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 przenoszone na budynki, instalacje i operatora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oparzenia przy układaniu gorącej mieszanki mineralno-asfaltowej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przy wsiadaniu i wysiadaniu z kabiny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spaliny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ochronne, przy asfalcie odporne na wysoką temperaturę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i rama ROPS, jeśli walec je ma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walce drogowe (zał. nr 1 gr. II lp. 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walec: wycieki, bębny i zgarniacze, opony, zraszacze, lusterka i kamery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hamulce, sygnał cofania, oświetlenie i wyłącznik awaryjny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kierownikiem robót pas pracy, krawędzie nasypu i miejsca, gdzie wibracja jest zakazana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pasie drogowym sprawdź oznakowanie robót i sposób prowadzenia ruchu (§ 4 ust. 2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oznakuj miejsce zagęszczania wibracyjnego przenośnymi zaporami (§ 9 ust. 2 pkt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zgodnie z instrukcją obsługi walca (§ 19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pochyłościach trzymaj się dopuszczalnego nachylenia z dokumentacji maszyny (§ 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zbliżaj się do niezagęszczonej krawędzi nasypu ani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wyłączaj wibrację przy zawracaniu, postoju i zjeździe z pasa zagęszczania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cofaj tylko przy widocznej strefie za walcem albo z sygnalistą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ograniczonej widoczności pracuj tylko na oświetlonym miejscu robót (§ 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liniach napowietrznych zachowaj odległości z § 55 rozp. o BHP przy robotach budowlanych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zatrzymaj walec na płaskim podłożu, wyłącz wibrację i silnik,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walec przed uruchomieniem przez osoby nieupoważnione (§ 5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bębny i zgarniacze przy wyłączonym silniku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konserwacja walca w ruchu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walca (§ 2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na walcu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wibracją przy budynkach i instalacjach bez ustalenia z kierownikiem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opuszczanie kabiny przy pracującym silniku i włączonym napędzie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zsunięcie walca ze skarpy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lub wyciek paliwa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Praca w pasie drogowym, zagęszczanie wibracyjne, pochyłości i walce: § 2, 4, 5, 9 ust. 2, § 10 ust. 1 i § 19 rozporządzenia z 20 września 2001 r. (t.j. Dz.U. 2018 poz. 583). Odległości od linii energetycznych: § 55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Walec Drogowy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