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MALARZ BUDOWLANY</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malarz budowlany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malowanie ścian i sufitów, gładzie, lakierowanie, praca z drabiny i rusztowania</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Opary rozpuszczalników i substancji lotnych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drabiny lub rusztowania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Pożar i wybuch par przy materiałach palnych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Porażenie przy malowaniu roztworami wodnymi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Kontakt skóry i oczu z farbami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Pył przy szlifowaniu gładzi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Wymuszona pozycja, praca nad głową</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wentylacja pomieszczeń</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wyłączenie instalacji elektrycznej przy farbach wodnych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usunięcie źródeł ognia przy materiałach palnych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rusztowanie przy pracy powyżej 4 m</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ochrona dróg oddechowych według karty charakterystyki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przy pracy nad głową i natrysku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odporne na środki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z instrukcji BHP robót malarskich</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malowanie z drabiny rozstawnej do 4 m (§ 48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intensywna wentylacja i wyłączenie instalacji przy farbach wodnych (§ 49)</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ogień co najmniej 30 m przy lakierach i masach palnych (§ 47)</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Malarz Budowlany</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