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WALCA</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walca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zagęszczanie gruntu, podbudowy i nawierzchni asfaltowej walcem drogowym</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walca przy krawędzi nasypu, rowu lub skarpy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Potrącenie przez pojazdy w pasie ruchu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Potrącenie pracowników brygady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Drgania całego ciała przy walcu wibracyjnym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Gorąca masa i opary asfaltu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przy wsiadaniu i wysiadaniu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Upał, słońce, warunki atmosferyczne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oznakowanie i zapory w pasie ruchu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odstęp od krawędzi nasypu i skarp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sygnał cofania, lusterka lub kamera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kabina lub osłona ROPS i pasy</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 odporne na temperaturę</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przy otwartej kabinie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nakrycie głowy i ochrona przed słońcem</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wpis Łukasiewicz-WIT na walce drogowe w klasie II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obsługa tylko z wpisem WIT na walce drogowe kl. II (§ 23 i zał. nr 1 gr. II lp. 10 rozp., t.j. Dz.U. 2018 poz. 583)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walce wibracyjne zgodnie z instrukcją obsługi (§ 19)</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miejsca zagęszczania oznakowane przenośnymi zaporami (§ 9 ust.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teren robót w pasie drogowym ogrodzony i oznakowany, oświetlony przy złej widoczności (§ 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przed uruchomieniem w przerwach (§ 5)</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Walca</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