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POROZUMIENIE O ROZWIĄZANIU UMOWY O ROBOTY BUDOWLANE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rozwiązanie umowy za zgodą obu stron (art. 353¹ i art. 77 § 2 Kodeksu cywilnego)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Miejscowość i data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Nr porozumienia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Zamawiający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inwestor albo generalny wykonawca: nazwa, adres, NIP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Wykonawca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generalny wykonawca albo podwykonawca: nazwa, adres, NIP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Reprezentowany przez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funkcja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Reprezentowany przez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funkcja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Umowa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numer, data, przedmiot, aneksy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Budowa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nazwa, adres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Strony zgodnie postanawiają rozwiązać umowę wskazaną wyżej na warunkach określonych w tym porozumieniu (art. 353¹ Kodeksu cywilnego).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Dzień i zakres rozwiązania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umowa zostaje rozwiązana w całości z dniem ................................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umowa zostaje rozwiązana w części obejmującej: ........................................................ ; w pozostałej części obowiązuje bez zmian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Przyczyna rozwiązania</w:t>
            </w: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 xml:space="preserve">  wpis nieobowiązkowy</w:t>
            </w:r>
          </w:p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Stan robót na dzień rozwiązania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Stan robót wykonanych, rozpoczętych i niezakończonych, materiałów i zaplecza na budowie ustala protokół inwentaryzacji robót nr ........ z dnia ........, który jest załącznikiem nr 1 do porozumienia.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591"/>
        <w:gridCol w:w="4340"/>
        <w:gridCol w:w="1775"/>
        <w:gridCol w:w="1578"/>
        <w:gridCol w:w="1578"/>
      </w:tblGrid>
      <w:tr>
        <w:trPr>
          <w:cantSplit/>
        </w:trPr>
        <w:tc>
          <w:tcPr>
            <w:tcW w:type="dxa" w:w="59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4340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Zakres robót / pozycja kosztorysu albo harmonogramu</w:t>
            </w:r>
          </w:p>
        </w:tc>
        <w:tc>
          <w:tcPr>
            <w:tcW w:type="dxa" w:w="177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Stan: wykonane / rozpoczęte</w:t>
            </w:r>
          </w:p>
        </w:tc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Wartość netto (zł)</w:t>
            </w:r>
          </w:p>
        </w:tc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Uwagi</w:t>
            </w:r>
          </w:p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4340"/>
          </w:tcPr>
          <w:p/>
        </w:tc>
        <w:tc>
          <w:tcPr>
            <w:tcW w:type="dxa" w:w="1775"/>
          </w:tcPr>
          <w:p/>
        </w:tc>
        <w:tc>
          <w:tcPr>
            <w:tcW w:type="dxa" w:w="1578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4340"/>
          </w:tcPr>
          <w:p/>
        </w:tc>
        <w:tc>
          <w:tcPr>
            <w:tcW w:type="dxa" w:w="1775"/>
          </w:tcPr>
          <w:p/>
        </w:tc>
        <w:tc>
          <w:tcPr>
            <w:tcW w:type="dxa" w:w="1578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4340"/>
          </w:tcPr>
          <w:p/>
        </w:tc>
        <w:tc>
          <w:tcPr>
            <w:tcW w:type="dxa" w:w="1775"/>
          </w:tcPr>
          <w:p/>
        </w:tc>
        <w:tc>
          <w:tcPr>
            <w:tcW w:type="dxa" w:w="1578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4340"/>
          </w:tcPr>
          <w:p/>
        </w:tc>
        <w:tc>
          <w:tcPr>
            <w:tcW w:type="dxa" w:w="1775"/>
          </w:tcPr>
          <w:p/>
        </w:tc>
        <w:tc>
          <w:tcPr>
            <w:tcW w:type="dxa" w:w="1578"/>
          </w:tcPr>
          <w:p/>
        </w:tc>
        <w:tc>
          <w:tcPr>
            <w:tcW w:type="dxa" w:w="157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Zabezpieczenie robót i przekazanie budowy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wykonawca zabezpieczy roboty rozpoczęte w sposób opisany w protokole inwentaryzacji do dnia ................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wykonawca opuści teren budowy i usunie zaplecze do dnia ................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wykonawca przekaże do dnia ................: wpisy w dzienniku budowy, dokumenty wyrobów, protokoły odbiorów i badań, dokumentację powykonawczą wykonanej części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materiały na budowie: przejmuje zamawiający za kwotę ................ zł netto / zabiera wykonawca (skreśl, co nie dotyczy)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Rozliczenie wynagrodzenia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4932"/>
        <w:gridCol w:w="1775"/>
        <w:gridCol w:w="3157"/>
      </w:tblGrid>
      <w:tr>
        <w:trPr>
          <w:cantSplit/>
        </w:trPr>
        <w:tc>
          <w:tcPr>
            <w:tcW w:type="dxa" w:w="493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Pozycja</w:t>
            </w:r>
          </w:p>
        </w:tc>
        <w:tc>
          <w:tcPr>
            <w:tcW w:type="dxa" w:w="177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Kwota netto (zł)</w:t>
            </w:r>
          </w:p>
        </w:tc>
        <w:tc>
          <w:tcPr>
            <w:tcW w:type="dxa" w:w="315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Podstawa / uwagi</w:t>
            </w:r>
          </w:p>
        </w:tc>
      </w:tr>
      <w:tr>
        <w:trPr>
          <w:trHeight w:val="481" w:hRule="atLeast"/>
          <w:cantSplit/>
        </w:trPr>
        <w:tc>
          <w:tcPr>
            <w:tcW w:type="dxa" w:w="4932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Wartość robót wykonanych według inwentaryzacji</w:t>
            </w:r>
          </w:p>
        </w:tc>
        <w:tc>
          <w:tcPr>
            <w:tcW w:type="dxa" w:w="1775"/>
          </w:tcPr>
          <w:p/>
        </w:tc>
        <w:tc>
          <w:tcPr>
            <w:tcW w:type="dxa" w:w="3157"/>
          </w:tcPr>
          <w:p/>
        </w:tc>
      </w:tr>
      <w:tr>
        <w:trPr>
          <w:trHeight w:val="481" w:hRule="atLeast"/>
          <w:cantSplit/>
        </w:trPr>
        <w:tc>
          <w:tcPr>
            <w:tcW w:type="dxa" w:w="4932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Materiały przejęte przez zamawiającego</w:t>
            </w:r>
          </w:p>
        </w:tc>
        <w:tc>
          <w:tcPr>
            <w:tcW w:type="dxa" w:w="1775"/>
          </w:tcPr>
          <w:p/>
        </w:tc>
        <w:tc>
          <w:tcPr>
            <w:tcW w:type="dxa" w:w="3157"/>
          </w:tcPr>
          <w:p/>
        </w:tc>
      </w:tr>
      <w:tr>
        <w:trPr>
          <w:trHeight w:val="481" w:hRule="atLeast"/>
          <w:cantSplit/>
        </w:trPr>
        <w:tc>
          <w:tcPr>
            <w:tcW w:type="dxa" w:w="4932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Zapłacone faktury częściowe i zaliczki (minus)</w:t>
            </w:r>
          </w:p>
        </w:tc>
        <w:tc>
          <w:tcPr>
            <w:tcW w:type="dxa" w:w="1775"/>
          </w:tcPr>
          <w:p/>
        </w:tc>
        <w:tc>
          <w:tcPr>
            <w:tcW w:type="dxa" w:w="3157"/>
          </w:tcPr>
          <w:p/>
        </w:tc>
      </w:tr>
      <w:tr>
        <w:trPr>
          <w:trHeight w:val="481" w:hRule="atLeast"/>
          <w:cantSplit/>
        </w:trPr>
        <w:tc>
          <w:tcPr>
            <w:tcW w:type="dxa" w:w="4932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Kary umowne i inne potrącenia uzgodnione w porozumieniu (minus)</w:t>
            </w:r>
          </w:p>
        </w:tc>
        <w:tc>
          <w:tcPr>
            <w:tcW w:type="dxa" w:w="1775"/>
          </w:tcPr>
          <w:p/>
        </w:tc>
        <w:tc>
          <w:tcPr>
            <w:tcW w:type="dxa" w:w="3157"/>
          </w:tcPr>
          <w:p/>
        </w:tc>
      </w:tr>
      <w:tr>
        <w:trPr>
          <w:trHeight w:val="481" w:hRule="atLeast"/>
          <w:cantSplit/>
        </w:trPr>
        <w:tc>
          <w:tcPr>
            <w:tcW w:type="dxa" w:w="4932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Do zapłaty na rzecz wykonawcy / zamawiającego (saldo)</w:t>
            </w:r>
          </w:p>
        </w:tc>
        <w:tc>
          <w:tcPr>
            <w:tcW w:type="dxa" w:w="1775"/>
          </w:tcPr>
          <w:p/>
        </w:tc>
        <w:tc>
          <w:tcPr>
            <w:tcW w:type="dxa" w:w="3157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Faktura końcowa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numer, data wystawienia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Termin zapłaty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dni od doręczenia faktury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5. Zabezpieczenie należytego wykonania i kaucja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zamawiający zwróci kaucję albo gwarancję należytego wykonania w kwocie ................ zł do dnia ................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zamawiający zatrzymuje ................ zł (albo gwarancję nr ................) na okres rękojmi; zwrot do dnia ................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6. Rękojmia i gwarancja za roboty wykonane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rękojmia i gwarancja obejmują roboty wykonane do dnia rozwiązania, na zasadach z umowy; okres liczy się od dnia ................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strony ustalają inny zakres lub okres: ........................................................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7. Kary umowne i inne roszczenia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strony nie będą dochodzić od siebie kar umownych ani innych roszczeń z umowy, z wyjątkiem: ................................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strony zachowują roszczenia wymienione w tabeli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591"/>
        <w:gridCol w:w="4538"/>
        <w:gridCol w:w="2170"/>
        <w:gridCol w:w="2565"/>
      </w:tblGrid>
      <w:tr>
        <w:trPr>
          <w:cantSplit/>
        </w:trPr>
        <w:tc>
          <w:tcPr>
            <w:tcW w:type="dxa" w:w="59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453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Roszczenie (tytuł, podstawa w umowie)</w:t>
            </w:r>
          </w:p>
        </w:tc>
        <w:tc>
          <w:tcPr>
            <w:tcW w:type="dxa" w:w="2170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Strona uprawniona</w:t>
            </w:r>
          </w:p>
        </w:tc>
        <w:tc>
          <w:tcPr>
            <w:tcW w:type="dxa" w:w="256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Kwota (zł)</w:t>
            </w:r>
          </w:p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4538"/>
          </w:tcPr>
          <w:p/>
        </w:tc>
        <w:tc>
          <w:tcPr>
            <w:tcW w:type="dxa" w:w="2170"/>
          </w:tcPr>
          <w:p/>
        </w:tc>
        <w:tc>
          <w:tcPr>
            <w:tcW w:type="dxa" w:w="2565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4538"/>
          </w:tcPr>
          <w:p/>
        </w:tc>
        <w:tc>
          <w:tcPr>
            <w:tcW w:type="dxa" w:w="2170"/>
          </w:tcPr>
          <w:p/>
        </w:tc>
        <w:tc>
          <w:tcPr>
            <w:tcW w:type="dxa" w:w="2565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4538"/>
          </w:tcPr>
          <w:p/>
        </w:tc>
        <w:tc>
          <w:tcPr>
            <w:tcW w:type="dxa" w:w="2170"/>
          </w:tcPr>
          <w:p/>
        </w:tc>
        <w:tc>
          <w:tcPr>
            <w:tcW w:type="dxa" w:w="2565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8. Podwykonawcy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wykonawca oświadcza, że zapłacił podwykonawcom i dalszym podwykonawcom za roboty wykonane do dnia rozwiązania; oświadczenia w załączniku nr 2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wykonawca ma zaległości wobec podwykonawców wymienionych w tabeli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591"/>
        <w:gridCol w:w="3749"/>
        <w:gridCol w:w="1973"/>
        <w:gridCol w:w="1775"/>
        <w:gridCol w:w="1775"/>
      </w:tblGrid>
      <w:tr>
        <w:trPr>
          <w:cantSplit/>
        </w:trPr>
        <w:tc>
          <w:tcPr>
            <w:tcW w:type="dxa" w:w="59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374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Podwykonawca (firma, NIP)</w:t>
            </w:r>
          </w:p>
        </w:tc>
        <w:tc>
          <w:tcPr>
            <w:tcW w:type="dxa" w:w="197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Zgłoszony inwestorowi (data)</w:t>
            </w:r>
          </w:p>
        </w:tc>
        <w:tc>
          <w:tcPr>
            <w:tcW w:type="dxa" w:w="177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Kwota zaległa (zł)</w:t>
            </w:r>
          </w:p>
        </w:tc>
        <w:tc>
          <w:tcPr>
            <w:tcW w:type="dxa" w:w="177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Termin zapłaty</w:t>
            </w:r>
          </w:p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3749"/>
          </w:tcPr>
          <w:p/>
        </w:tc>
        <w:tc>
          <w:tcPr>
            <w:tcW w:type="dxa" w:w="1973"/>
          </w:tcPr>
          <w:p/>
        </w:tc>
        <w:tc>
          <w:tcPr>
            <w:tcW w:type="dxa" w:w="1775"/>
          </w:tcPr>
          <w:p/>
        </w:tc>
        <w:tc>
          <w:tcPr>
            <w:tcW w:type="dxa" w:w="1775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3749"/>
          </w:tcPr>
          <w:p/>
        </w:tc>
        <w:tc>
          <w:tcPr>
            <w:tcW w:type="dxa" w:w="1973"/>
          </w:tcPr>
          <w:p/>
        </w:tc>
        <w:tc>
          <w:tcPr>
            <w:tcW w:type="dxa" w:w="1775"/>
          </w:tcPr>
          <w:p/>
        </w:tc>
        <w:tc>
          <w:tcPr>
            <w:tcW w:type="dxa" w:w="1775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3749"/>
          </w:tcPr>
          <w:p/>
        </w:tc>
        <w:tc>
          <w:tcPr>
            <w:tcW w:type="dxa" w:w="1973"/>
          </w:tcPr>
          <w:p/>
        </w:tc>
        <w:tc>
          <w:tcPr>
            <w:tcW w:type="dxa" w:w="1775"/>
          </w:tcPr>
          <w:p/>
        </w:tc>
        <w:tc>
          <w:tcPr>
            <w:tcW w:type="dxa" w:w="1775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9. Postanowienia końcowe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Porozumienie sporządzono w dwóch jednobrzmiących egzemplarzach, po jednym dla każdej strony. Wchodzi w życie z dniem podpisania przez obie strony. Załączniki: nr 1 protokół inwentaryzacji robót, nr 2 oświadczenia o zapłacie podwykonawcom.</w:t>
      </w:r>
    </w:p>
    <w:tbl>
      <w:tblPr>
        <w:tblW w:type="auto" w:w="0"/>
        <w:jc w:val="center"/>
        <w:tblLayout w:type="fixed"/>
        <w:tblLayout w:type="fixed"/>
        <w:tblCellMar>
          <w:top w:w="20" w:type="dxa"/>
          <w:left w:w="40" w:type="dxa"/>
          <w:bottom w:w="20" w:type="dxa"/>
          <w:right w:w="40" w:type="dxa"/>
        </w:tblCellMar>
        <w:tblLook w:firstColumn="1" w:firstRow="1" w:lastColumn="0" w:lastRow="0" w:noHBand="0" w:noVBand="1" w:val="04A0"/>
      </w:tblPr>
      <w:tblGrid>
        <w:gridCol w:w="4706"/>
        <w:gridCol w:w="453"/>
        <w:gridCol w:w="4706"/>
      </w:tblGrid>
      <w:tr>
        <w:trPr>
          <w:trHeight w:val="850" w:hRule="atLeast"/>
          <w:cantSplit/>
        </w:trPr>
        <w:tc>
          <w:tcPr>
            <w:tcW w:type="dxa" w:w="4706"/>
          </w:tcPr>
          <w:p/>
        </w:tc>
        <w:tc>
          <w:tcPr>
            <w:tcW w:type="dxa" w:w="453"/>
          </w:tcPr>
          <w:p/>
        </w:tc>
        <w:tc>
          <w:tcPr>
            <w:tcW w:type="dxa" w:w="4706"/>
          </w:tcPr>
          <w:p/>
        </w:tc>
      </w:tr>
      <w:tr>
        <w:trPr>
          <w:cantSplit/>
        </w:trPr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Zamawiający (podpis osoby upoważnionej)</w:t>
            </w:r>
          </w:p>
        </w:tc>
        <w:tc>
          <w:tcPr>
            <w:tcW w:type="dxa" w:w="453"/>
          </w:tcPr>
          <w:p/>
        </w:tc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Wykonawca (podpis osoby upoważnionej)</w:t>
            </w:r>
          </w:p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Jeżeli umowa została zawarta w formie pisemnej, dokumentowej albo elektronicznej, jej rozwiązanie za zgodą obu stron wymaga zachowania formy dokumentowej, chyba że ustawa lub umowa zastrzega inną formę (art. 77 § 2 KC). Umowa o roboty budowlane powinna być stwierdzona pismem (art. 648 § 1 KC). Jeżeli umowa wymaga formy pisemnej dla zmian i rozwiązania, porozumienie podpisują własnoręcznie obie strony (art. 78 § 1 KC) albo kwalifikowanym podpisem elektronicznym (art. 78¹ KC).</w:t>
      </w: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Porozumienie O Rozwiązaniu Umowy O Roboty Budowlane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