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SZCZEGÓŁOWY PROGRAM SZKOLENIA OKRESOWEGO BHP PRACOWNIKÓW INŻYNIERYJNO-TECHNICZNYCH</w:t>
      </w:r>
    </w:p>
    <w:p>
      <w:pPr>
        <w:keepNext w:val="0"/>
        <w:spacing w:before="0" w:after="160" w:line="252" w:lineRule="auto"/>
        <w:jc w:val="center"/>
      </w:pPr>
      <w:r>
        <w:rPr>
          <w:rFonts w:ascii="Arial" w:hAnsi="Arial" w:eastAsia="Arial"/>
          <w:b w:val="0"/>
          <w:i/>
          <w:color w:val="333333"/>
          <w:sz w:val="18"/>
        </w:rPr>
        <w:t>§ 7, § 14–16 i zał. nr 1 cz. VI rozporządzenia w sprawie szkolenia w dziedzinie BHP (t.j. Dz.U. 2024 poz. 1327 ze zm.)</w:t>
      </w:r>
    </w:p>
    <w:p>
      <w:pPr>
        <w:keepNext/>
        <w:pBdr>
          <w:bottom w:val="single" w:sz="8" w:space="1" w:color="000000"/>
        </w:pBdr>
        <w:spacing w:before="140" w:after="60" w:line="240" w:lineRule="auto"/>
      </w:pPr>
      <w:r>
        <w:rPr>
          <w:rFonts w:ascii="Arial" w:hAnsi="Arial" w:eastAsia="Arial"/>
          <w:b/>
          <w:i w:val="0"/>
          <w:sz w:val="21"/>
        </w:rPr>
        <w:t>1. Metryka programu</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Organizator szkolenia</w:t>
            </w:r>
          </w:p>
          <w:p>
            <w:pPr>
              <w:keepNext w:val="0"/>
              <w:spacing w:before="0" w:after="0" w:line="240" w:lineRule="auto"/>
            </w:pPr>
            <w:r>
              <w:rPr>
                <w:rFonts w:ascii="Arial" w:hAnsi="Arial" w:eastAsia="Arial"/>
                <w:b w:val="0"/>
                <w:i/>
                <w:color w:val="444444"/>
                <w:sz w:val="14"/>
              </w:rPr>
              <w:t>pracodawca albo jednostka szkoleniowa (§ 4 ust. 1)</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Program nr / wersja / obowiązuje od</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Opracował</w:t>
            </w:r>
          </w:p>
          <w:p>
            <w:pPr>
              <w:keepNext w:val="0"/>
              <w:spacing w:before="0" w:after="0" w:line="240" w:lineRule="auto"/>
            </w:pPr>
            <w:r>
              <w:rPr>
                <w:rFonts w:ascii="Arial" w:hAnsi="Arial" w:eastAsia="Arial"/>
                <w:b w:val="0"/>
                <w:i/>
                <w:color w:val="444444"/>
                <w:sz w:val="14"/>
              </w:rPr>
              <w:t>imię, nazwisko, funkcja, 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Uzgodniono z pracodawcą</w:t>
            </w:r>
          </w:p>
          <w:p>
            <w:pPr>
              <w:keepNext w:val="0"/>
              <w:spacing w:before="0" w:after="0" w:line="240" w:lineRule="auto"/>
            </w:pPr>
            <w:r>
              <w:rPr>
                <w:rFonts w:ascii="Arial" w:hAnsi="Arial" w:eastAsia="Arial"/>
                <w:b w:val="0"/>
                <w:i/>
                <w:color w:val="444444"/>
                <w:sz w:val="14"/>
              </w:rPr>
              <w:t>nazwa, data (§ 7 ust. 1)</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Wykładowcy</w:t>
            </w:r>
          </w:p>
          <w:p>
            <w:pPr>
              <w:keepNext w:val="0"/>
              <w:spacing w:before="0" w:after="0" w:line="240" w:lineRule="auto"/>
            </w:pPr>
            <w:r>
              <w:rPr>
                <w:rFonts w:ascii="Arial" w:hAnsi="Arial" w:eastAsia="Arial"/>
                <w:b w:val="0"/>
                <w:i/>
                <w:color w:val="444444"/>
                <w:sz w:val="14"/>
              </w:rPr>
              <w:t>imiona, nazwiska, przygotowanie dydaktyczne (§ 5 pkt 3)</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Konsultacja z pracownikami lub ich przedstawicielami</w:t>
            </w:r>
          </w:p>
          <w:p>
            <w:pPr>
              <w:keepNext w:val="0"/>
              <w:spacing w:before="0" w:after="0" w:line="240" w:lineRule="auto"/>
            </w:pPr>
            <w:r>
              <w:rPr>
                <w:rFonts w:ascii="Arial" w:hAnsi="Arial" w:eastAsia="Arial"/>
                <w:b w:val="0"/>
                <w:i/>
                <w:color w:val="444444"/>
                <w:sz w:val="14"/>
              </w:rPr>
              <w:t>data, forma (§ 15 ust. 3)</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Grupa i uczestnicy (zał. nr 1 cz. VI pkt 2)</w:t>
      </w:r>
    </w:p>
    <w:p>
      <w:pPr>
        <w:keepNext w:val="0"/>
        <w:spacing w:before="80" w:after="40" w:line="269" w:lineRule="auto"/>
      </w:pPr>
      <w:r>
        <w:rPr>
          <w:rFonts w:ascii="Arial" w:hAnsi="Arial" w:eastAsia="Arial"/>
          <w:b w:val="0"/>
          <w:i w:val="0"/>
          <w:sz w:val="19"/>
        </w:rPr>
        <w:t>Szczegółowy program opracowuje się odrębnie dla każdej z grup pracowników inżynieryjno-technicznych. Zaznacz grupę, dla której jest ten egzemplarz:</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projektanci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konstruktorzy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technolodzy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organizatorzy produkcji (§ 14 ust. 2 pkt 3)</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2565"/>
        <w:gridCol w:w="2170"/>
        <w:gridCol w:w="1578"/>
        <w:gridCol w:w="1479"/>
        <w:gridCol w:w="147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2565"/>
            <w:shd w:val="clear" w:color="auto" w:fill="EFEFEF"/>
          </w:tcPr>
          <w:p>
            <w:pPr>
              <w:keepNext w:val="0"/>
              <w:spacing w:before="0" w:after="0" w:line="240" w:lineRule="auto"/>
              <w:jc w:val="center"/>
            </w:pPr>
            <w:r>
              <w:rPr>
                <w:rFonts w:ascii="Arial" w:hAnsi="Arial" w:eastAsia="Arial"/>
                <w:b/>
                <w:i w:val="0"/>
                <w:sz w:val="16"/>
              </w:rPr>
              <w:t>Imię i nazwisko</w:t>
            </w:r>
          </w:p>
        </w:tc>
        <w:tc>
          <w:tcPr>
            <w:tcW w:type="dxa" w:w="2170"/>
            <w:shd w:val="clear" w:color="auto" w:fill="EFEFEF"/>
          </w:tcPr>
          <w:p>
            <w:pPr>
              <w:keepNext w:val="0"/>
              <w:spacing w:before="0" w:after="0" w:line="240" w:lineRule="auto"/>
              <w:jc w:val="center"/>
            </w:pPr>
            <w:r>
              <w:rPr>
                <w:rFonts w:ascii="Arial" w:hAnsi="Arial" w:eastAsia="Arial"/>
                <w:b/>
                <w:i w:val="0"/>
                <w:sz w:val="16"/>
              </w:rPr>
              <w:t>Stanowisko</w:t>
            </w:r>
          </w:p>
        </w:tc>
        <w:tc>
          <w:tcPr>
            <w:tcW w:type="dxa" w:w="1578"/>
            <w:shd w:val="clear" w:color="auto" w:fill="EFEFEF"/>
          </w:tcPr>
          <w:p>
            <w:pPr>
              <w:keepNext w:val="0"/>
              <w:spacing w:before="0" w:after="0" w:line="240" w:lineRule="auto"/>
              <w:jc w:val="center"/>
            </w:pPr>
            <w:r>
              <w:rPr>
                <w:rFonts w:ascii="Arial" w:hAnsi="Arial" w:eastAsia="Arial"/>
                <w:b/>
                <w:i w:val="0"/>
                <w:sz w:val="16"/>
              </w:rPr>
              <w:t>Początek pracy na stanowisku</w:t>
            </w:r>
          </w:p>
        </w:tc>
        <w:tc>
          <w:tcPr>
            <w:tcW w:type="dxa" w:w="1479"/>
            <w:shd w:val="clear" w:color="auto" w:fill="EFEFEF"/>
          </w:tcPr>
          <w:p>
            <w:pPr>
              <w:keepNext w:val="0"/>
              <w:spacing w:before="0" w:after="0" w:line="240" w:lineRule="auto"/>
              <w:jc w:val="center"/>
            </w:pPr>
            <w:r>
              <w:rPr>
                <w:rFonts w:ascii="Arial" w:hAnsi="Arial" w:eastAsia="Arial"/>
                <w:b/>
                <w:i w:val="0"/>
                <w:sz w:val="16"/>
              </w:rPr>
              <w:t>Pierwsze szkolenie do (12 mies.)</w:t>
            </w:r>
          </w:p>
        </w:tc>
        <w:tc>
          <w:tcPr>
            <w:tcW w:type="dxa" w:w="1479"/>
            <w:shd w:val="clear" w:color="auto" w:fill="EFEFEF"/>
          </w:tcPr>
          <w:p>
            <w:pPr>
              <w:keepNext w:val="0"/>
              <w:spacing w:before="0" w:after="0" w:line="240" w:lineRule="auto"/>
              <w:jc w:val="center"/>
            </w:pPr>
            <w:r>
              <w:rPr>
                <w:rFonts w:ascii="Arial" w:hAnsi="Arial" w:eastAsia="Arial"/>
                <w:b/>
                <w:i w:val="0"/>
                <w:sz w:val="16"/>
              </w:rPr>
              <w:t>Kolejne do (5 lat)</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2565"/>
          </w:tcPr>
          <w:p/>
        </w:tc>
        <w:tc>
          <w:tcPr>
            <w:tcW w:type="dxa" w:w="2170"/>
          </w:tcPr>
          <w:p/>
        </w:tc>
        <w:tc>
          <w:tcPr>
            <w:tcW w:type="dxa" w:w="1578"/>
          </w:tcPr>
          <w:p/>
        </w:tc>
        <w:tc>
          <w:tcPr>
            <w:tcW w:type="dxa" w:w="1479"/>
          </w:tcPr>
          <w:p/>
        </w:tc>
        <w:tc>
          <w:tcPr>
            <w:tcW w:type="dxa" w:w="147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2565"/>
          </w:tcPr>
          <w:p/>
        </w:tc>
        <w:tc>
          <w:tcPr>
            <w:tcW w:type="dxa" w:w="2170"/>
          </w:tcPr>
          <w:p/>
        </w:tc>
        <w:tc>
          <w:tcPr>
            <w:tcW w:type="dxa" w:w="1578"/>
          </w:tcPr>
          <w:p/>
        </w:tc>
        <w:tc>
          <w:tcPr>
            <w:tcW w:type="dxa" w:w="1479"/>
          </w:tcPr>
          <w:p/>
        </w:tc>
        <w:tc>
          <w:tcPr>
            <w:tcW w:type="dxa" w:w="1479"/>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3. Forma i terminy (§ 15 ust. 2 i 4)</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kurs (nie krócej niż 15 godzin lekcyjnych, zajęcia teoretyczne i praktyczne, § 1a pkt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seminarium (nie krócej niż 5 godzin lekcyjnych, § 1a pkt 6)</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samokształcenie kierowane: materiały organizatora i konsultacje z osobą spełniającą wymagania dla wykładowców (§ 1a pkt 5)</w:t>
      </w:r>
    </w:p>
    <w:p>
      <w:pPr>
        <w:keepNext w:val="0"/>
        <w:spacing w:before="80" w:after="40" w:line="269" w:lineRule="auto"/>
        <w:jc w:val="both"/>
      </w:pPr>
      <w:r>
        <w:rPr>
          <w:rFonts w:ascii="Arial" w:hAnsi="Arial" w:eastAsia="Arial"/>
          <w:b w:val="0"/>
          <w:i w:val="0"/>
          <w:color w:val="333333"/>
          <w:sz w:val="15"/>
        </w:rPr>
        <w:t>Szkolenie okresowe tej grupy przeprowadza się nie rzadziej niż raz na 5 lat (§ 15 ust. 2), a pierwsze w okresie do 12 miesięcy od rozpoczęcia pracy na stanowisku (§ 15 ust. 4). Cel: aktualizacja i uzupełnienie wiedzy i umiejętności w szczególności z zakresu identyfikacji i oceny zagrożeń w procesach pracy, organizacji pracy i stanowisk pracy zgodnie z wymaganiami BHP oraz ergonomii oraz metod likwidacji lub ograniczenia zagrożeń czynnikami środowiska pracy (zał. nr 1 cz. VI pkt 1).</w:t>
      </w:r>
    </w:p>
    <w:p>
      <w:pPr>
        <w:keepNext/>
        <w:pBdr>
          <w:bottom w:val="single" w:sz="8" w:space="1" w:color="000000"/>
        </w:pBdr>
        <w:spacing w:before="140" w:after="60" w:line="240" w:lineRule="auto"/>
      </w:pPr>
      <w:r>
        <w:rPr>
          <w:rFonts w:ascii="Arial" w:hAnsi="Arial" w:eastAsia="Arial"/>
          <w:b/>
          <w:i w:val="0"/>
          <w:sz w:val="21"/>
        </w:rPr>
        <w:t>4. Tematy szkolenia (ramowy program: zał. nr 1 cz. VI pkt 4)</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735"/>
        <w:gridCol w:w="2565"/>
        <w:gridCol w:w="690"/>
        <w:gridCol w:w="1874"/>
      </w:tblGrid>
      <w:tr>
        <w:trPr>
          <w:cantSplit/>
        </w:trPr>
        <w:tc>
          <w:tcPr>
            <w:tcW w:type="dxa" w:w="4735"/>
            <w:shd w:val="clear" w:color="auto" w:fill="EFEFEF"/>
          </w:tcPr>
          <w:p>
            <w:pPr>
              <w:keepNext w:val="0"/>
              <w:spacing w:before="0" w:after="0" w:line="240" w:lineRule="auto"/>
              <w:jc w:val="center"/>
            </w:pPr>
            <w:r>
              <w:rPr>
                <w:rFonts w:ascii="Arial" w:hAnsi="Arial" w:eastAsia="Arial"/>
                <w:b/>
                <w:i w:val="0"/>
                <w:sz w:val="16"/>
              </w:rPr>
              <w:t>Lp. i temat z ramowego programu (godz. w programie ramowym)</w:t>
            </w:r>
          </w:p>
        </w:tc>
        <w:tc>
          <w:tcPr>
            <w:tcW w:type="dxa" w:w="2565"/>
            <w:shd w:val="clear" w:color="auto" w:fill="EFEFEF"/>
          </w:tcPr>
          <w:p>
            <w:pPr>
              <w:keepNext w:val="0"/>
              <w:spacing w:before="0" w:after="0" w:line="240" w:lineRule="auto"/>
              <w:jc w:val="center"/>
            </w:pPr>
            <w:r>
              <w:rPr>
                <w:rFonts w:ascii="Arial" w:hAnsi="Arial" w:eastAsia="Arial"/>
                <w:b/>
                <w:i w:val="0"/>
                <w:sz w:val="16"/>
              </w:rPr>
              <w:t>Treść dla budowy</w:t>
            </w:r>
          </w:p>
        </w:tc>
        <w:tc>
          <w:tcPr>
            <w:tcW w:type="dxa" w:w="690"/>
            <w:shd w:val="clear" w:color="auto" w:fill="EFEFEF"/>
          </w:tcPr>
          <w:p>
            <w:pPr>
              <w:keepNext w:val="0"/>
              <w:spacing w:before="0" w:after="0" w:line="240" w:lineRule="auto"/>
              <w:jc w:val="center"/>
            </w:pPr>
            <w:r>
              <w:rPr>
                <w:rFonts w:ascii="Arial" w:hAnsi="Arial" w:eastAsia="Arial"/>
                <w:b/>
                <w:i w:val="0"/>
                <w:sz w:val="16"/>
              </w:rPr>
              <w:t>Godz.</w:t>
            </w:r>
          </w:p>
        </w:tc>
        <w:tc>
          <w:tcPr>
            <w:tcW w:type="dxa" w:w="1874"/>
            <w:shd w:val="clear" w:color="auto" w:fill="EFEFEF"/>
          </w:tcPr>
          <w:p>
            <w:pPr>
              <w:keepNext w:val="0"/>
              <w:spacing w:before="0" w:after="0" w:line="240" w:lineRule="auto"/>
              <w:jc w:val="center"/>
            </w:pPr>
            <w:r>
              <w:rPr>
                <w:rFonts w:ascii="Arial" w:hAnsi="Arial" w:eastAsia="Arial"/>
                <w:b/>
                <w:i w:val="0"/>
                <w:sz w:val="16"/>
              </w:rPr>
              <w:t>Materiały</w:t>
            </w:r>
          </w:p>
        </w:tc>
      </w:tr>
      <w:tr>
        <w:trPr>
          <w:trHeight w:val="481" w:hRule="atLeast"/>
          <w:cantSplit/>
        </w:trPr>
        <w:tc>
          <w:tcPr>
            <w:tcW w:type="dxa" w:w="4735"/>
          </w:tcPr>
          <w:p>
            <w:pPr>
              <w:keepNext w:val="0"/>
              <w:spacing w:before="0" w:after="0" w:line="240" w:lineRule="auto"/>
            </w:pPr>
            <w:r>
              <w:rPr>
                <w:rFonts w:ascii="Arial" w:hAnsi="Arial" w:eastAsia="Arial"/>
                <w:b w:val="0"/>
                <w:i w:val="0"/>
                <w:sz w:val="17"/>
              </w:rPr>
              <w:t>1. Regulacje prawne z zakresu BHP: aktualne przepisy, prawa i obowiązki pracodawców i pracowników, odpowiedzialność za naruszenie przepisów, odpowiedzialność projektantów, konstruktorów i technologów, wymagania BHP dla budynków i pomieszczeń, w tym higieniczno-sanitarnych, wymagania BHP i ergonomii dla maszyn, ocena zgodności wyrobów, nadzór i kontrola warunków pracy, interpretacja przepisów (3)</w:t>
            </w:r>
          </w:p>
        </w:tc>
        <w:tc>
          <w:tcPr>
            <w:tcW w:type="dxa" w:w="2565"/>
          </w:tcPr>
          <w:p/>
        </w:tc>
        <w:tc>
          <w:tcPr>
            <w:tcW w:type="dxa" w:w="690"/>
          </w:tcPr>
          <w:p/>
        </w:tc>
        <w:tc>
          <w:tcPr>
            <w:tcW w:type="dxa" w:w="1874"/>
          </w:tcPr>
          <w:p/>
        </w:tc>
      </w:tr>
      <w:tr>
        <w:trPr>
          <w:trHeight w:val="481" w:hRule="atLeast"/>
          <w:cantSplit/>
        </w:trPr>
        <w:tc>
          <w:tcPr>
            <w:tcW w:type="dxa" w:w="4735"/>
          </w:tcPr>
          <w:p>
            <w:pPr>
              <w:keepNext w:val="0"/>
              <w:spacing w:before="0" w:after="0" w:line="240" w:lineRule="auto"/>
            </w:pPr>
            <w:r>
              <w:rPr>
                <w:rFonts w:ascii="Arial" w:hAnsi="Arial" w:eastAsia="Arial"/>
                <w:b w:val="0"/>
                <w:i w:val="0"/>
                <w:sz w:val="17"/>
              </w:rPr>
              <w:t>2. Metody identyfikacji, analizy i oceny zagrożeń czynnikami szkodliwymi, uciążliwymi i niebezpiecznymi w procesach pracy oraz oceny ryzyka (3)</w:t>
            </w:r>
          </w:p>
        </w:tc>
        <w:tc>
          <w:tcPr>
            <w:tcW w:type="dxa" w:w="2565"/>
          </w:tcPr>
          <w:p/>
        </w:tc>
        <w:tc>
          <w:tcPr>
            <w:tcW w:type="dxa" w:w="690"/>
          </w:tcPr>
          <w:p/>
        </w:tc>
        <w:tc>
          <w:tcPr>
            <w:tcW w:type="dxa" w:w="1874"/>
          </w:tcPr>
          <w:p/>
        </w:tc>
      </w:tr>
      <w:tr>
        <w:trPr>
          <w:trHeight w:val="481" w:hRule="atLeast"/>
          <w:cantSplit/>
        </w:trPr>
        <w:tc>
          <w:tcPr>
            <w:tcW w:type="dxa" w:w="4735"/>
          </w:tcPr>
          <w:p>
            <w:pPr>
              <w:keepNext w:val="0"/>
              <w:spacing w:before="0" w:after="0" w:line="240" w:lineRule="auto"/>
            </w:pPr>
            <w:r>
              <w:rPr>
                <w:rFonts w:ascii="Arial" w:hAnsi="Arial" w:eastAsia="Arial"/>
                <w:b w:val="0"/>
                <w:i w:val="0"/>
                <w:sz w:val="17"/>
              </w:rPr>
              <w:t>3. Kształtowanie warunków pracy zgodnie z wymaganiami bezpieczeństwa i ergonomii, w tym metody likwidacji lub ograniczenia czynników szkodliwych, uciążliwych i niebezpiecznych przez rozwiązania projektowe, technologiczne i organizacyjne (4)</w:t>
            </w:r>
          </w:p>
        </w:tc>
        <w:tc>
          <w:tcPr>
            <w:tcW w:type="dxa" w:w="2565"/>
          </w:tcPr>
          <w:p/>
        </w:tc>
        <w:tc>
          <w:tcPr>
            <w:tcW w:type="dxa" w:w="690"/>
          </w:tcPr>
          <w:p/>
        </w:tc>
        <w:tc>
          <w:tcPr>
            <w:tcW w:type="dxa" w:w="1874"/>
          </w:tcPr>
          <w:p/>
        </w:tc>
      </w:tr>
      <w:tr>
        <w:trPr>
          <w:trHeight w:val="481" w:hRule="atLeast"/>
          <w:cantSplit/>
        </w:trPr>
        <w:tc>
          <w:tcPr>
            <w:tcW w:type="dxa" w:w="4735"/>
          </w:tcPr>
          <w:p>
            <w:pPr>
              <w:keepNext w:val="0"/>
              <w:spacing w:before="0" w:after="0" w:line="240" w:lineRule="auto"/>
            </w:pPr>
            <w:r>
              <w:rPr>
                <w:rFonts w:ascii="Arial" w:hAnsi="Arial" w:eastAsia="Arial"/>
                <w:b w:val="0"/>
                <w:i w:val="0"/>
                <w:sz w:val="17"/>
              </w:rPr>
              <w:t>4. Nowoczesne rozwiązania techniczno-organizacyjne poprawiające BHP: wentylacja i klimatyzacja, urządzenia zabezpieczające, środki ochrony indywidualnej (2)</w:t>
            </w:r>
          </w:p>
        </w:tc>
        <w:tc>
          <w:tcPr>
            <w:tcW w:type="dxa" w:w="2565"/>
          </w:tcPr>
          <w:p/>
        </w:tc>
        <w:tc>
          <w:tcPr>
            <w:tcW w:type="dxa" w:w="690"/>
          </w:tcPr>
          <w:p/>
        </w:tc>
        <w:tc>
          <w:tcPr>
            <w:tcW w:type="dxa" w:w="1874"/>
          </w:tcPr>
          <w:p/>
        </w:tc>
      </w:tr>
      <w:tr>
        <w:trPr>
          <w:trHeight w:val="481" w:hRule="atLeast"/>
          <w:cantSplit/>
        </w:trPr>
        <w:tc>
          <w:tcPr>
            <w:tcW w:type="dxa" w:w="4735"/>
          </w:tcPr>
          <w:p>
            <w:pPr>
              <w:keepNext w:val="0"/>
              <w:spacing w:before="0" w:after="0" w:line="240" w:lineRule="auto"/>
            </w:pPr>
            <w:r>
              <w:rPr>
                <w:rFonts w:ascii="Arial" w:hAnsi="Arial" w:eastAsia="Arial"/>
                <w:b w:val="0"/>
                <w:i w:val="0"/>
                <w:sz w:val="17"/>
              </w:rPr>
              <w:t>5. Ćwiczenia dotyczące uwzględniania wymagań BHP i ergonomii w projektowaniu (3)</w:t>
            </w:r>
          </w:p>
        </w:tc>
        <w:tc>
          <w:tcPr>
            <w:tcW w:type="dxa" w:w="2565"/>
          </w:tcPr>
          <w:p/>
        </w:tc>
        <w:tc>
          <w:tcPr>
            <w:tcW w:type="dxa" w:w="690"/>
          </w:tcPr>
          <w:p/>
        </w:tc>
        <w:tc>
          <w:tcPr>
            <w:tcW w:type="dxa" w:w="1874"/>
          </w:tcPr>
          <w:p/>
        </w:tc>
      </w:tr>
      <w:tr>
        <w:trPr>
          <w:trHeight w:val="481" w:hRule="atLeast"/>
          <w:cantSplit/>
        </w:trPr>
        <w:tc>
          <w:tcPr>
            <w:tcW w:type="dxa" w:w="4735"/>
          </w:tcPr>
          <w:p>
            <w:pPr>
              <w:keepNext w:val="0"/>
              <w:spacing w:before="0" w:after="0" w:line="240" w:lineRule="auto"/>
            </w:pPr>
            <w:r>
              <w:rPr>
                <w:rFonts w:ascii="Arial" w:hAnsi="Arial" w:eastAsia="Arial"/>
                <w:b w:val="0"/>
                <w:i w:val="0"/>
                <w:sz w:val="17"/>
              </w:rPr>
              <w:t>6. Zasady postępowania w razie wypadku w czasie pracy i w sytuacjach zagrożeń (np. pożaru, awarii), pierwsza pomoc (1)</w:t>
            </w:r>
          </w:p>
        </w:tc>
        <w:tc>
          <w:tcPr>
            <w:tcW w:type="dxa" w:w="2565"/>
          </w:tcPr>
          <w:p/>
        </w:tc>
        <w:tc>
          <w:tcPr>
            <w:tcW w:type="dxa" w:w="690"/>
          </w:tcPr>
          <w:p/>
        </w:tc>
        <w:tc>
          <w:tcPr>
            <w:tcW w:type="dxa" w:w="1874"/>
          </w:tcPr>
          <w:p/>
        </w:tc>
      </w:tr>
      <w:tr>
        <w:trPr>
          <w:trHeight w:val="481" w:hRule="atLeast"/>
          <w:cantSplit/>
        </w:trPr>
        <w:tc>
          <w:tcPr>
            <w:tcW w:type="dxa" w:w="4735"/>
          </w:tcPr>
          <w:p>
            <w:pPr>
              <w:keepNext w:val="0"/>
              <w:spacing w:before="0" w:after="0" w:line="240" w:lineRule="auto"/>
            </w:pPr>
            <w:r>
              <w:rPr>
                <w:rFonts w:ascii="Arial" w:hAnsi="Arial" w:eastAsia="Arial"/>
                <w:b w:val="0"/>
                <w:i w:val="0"/>
                <w:sz w:val="17"/>
              </w:rPr>
              <w:t>Razem: minimum 16 godzin lekcyjnych po 45 minut</w:t>
            </w:r>
          </w:p>
        </w:tc>
        <w:tc>
          <w:tcPr>
            <w:tcW w:type="dxa" w:w="2565"/>
          </w:tcPr>
          <w:p/>
        </w:tc>
        <w:tc>
          <w:tcPr>
            <w:tcW w:type="dxa" w:w="690"/>
          </w:tcPr>
          <w:p/>
        </w:tc>
        <w:tc>
          <w:tcPr>
            <w:tcW w:type="dxa" w:w="1874"/>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5. Środki dydaktyczne (zał. nr 1 cz. VI pkt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filmy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tablice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folie lub prezentacje do wyświetlania informacji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 samokształceniu kierowanym: skrypty, przepisy prawne, zestawy pytań kontrolnych</w:t>
      </w:r>
    </w:p>
    <w:p>
      <w:pPr>
        <w:keepNext/>
        <w:pBdr>
          <w:bottom w:val="single" w:sz="8" w:space="1" w:color="000000"/>
        </w:pBdr>
        <w:spacing w:before="140" w:after="60" w:line="240" w:lineRule="auto"/>
      </w:pPr>
      <w:r>
        <w:rPr>
          <w:rFonts w:ascii="Arial" w:hAnsi="Arial" w:eastAsia="Arial"/>
          <w:b/>
          <w:i w:val="0"/>
          <w:sz w:val="21"/>
        </w:rPr>
        <w:t>6. Ćwiczenie z projektowania (temat 5)</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Opis ćwiczenia</w:t>
            </w:r>
            <w:r>
              <w:rPr>
                <w:rFonts w:ascii="Arial" w:hAnsi="Arial" w:eastAsia="Arial"/>
                <w:b w:val="0"/>
                <w:i/>
                <w:color w:val="444444"/>
                <w:sz w:val="14"/>
              </w:rPr>
              <w:t xml:space="preserve">  dokumentacja użyta w ćwiczeniu, kryteria BHP i ergonomii, np. strefy niebezpieczne, drogi komunikacji, składowanie</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Wnioski i uwagi uczestników</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7. Egzamin i zaświadczenie (§ 16)</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Komisja egzaminacyjna powołana przez organizatora</w:t>
            </w:r>
          </w:p>
          <w:p>
            <w:pPr>
              <w:keepNext w:val="0"/>
              <w:spacing w:before="0" w:after="0" w:line="240" w:lineRule="auto"/>
            </w:pPr>
            <w:r>
              <w:rPr>
                <w:rFonts w:ascii="Arial" w:hAnsi="Arial" w:eastAsia="Arial"/>
                <w:b w:val="0"/>
                <w:i/>
                <w:color w:val="444444"/>
                <w:sz w:val="14"/>
              </w:rPr>
              <w:t>imiona, nazwiska, funkcje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Protokół przebiegu egzaminu</w:t>
            </w:r>
          </w:p>
          <w:p>
            <w:pPr>
              <w:keepNext w:val="0"/>
              <w:spacing w:before="0" w:after="0" w:line="240" w:lineRule="auto"/>
            </w:pPr>
            <w:r>
              <w:rPr>
                <w:rFonts w:ascii="Arial" w:hAnsi="Arial" w:eastAsia="Arial"/>
                <w:b w:val="0"/>
                <w:i/>
                <w:color w:val="444444"/>
                <w:sz w:val="14"/>
              </w:rPr>
              <w:t>nr, data (§ 5 pkt 6)</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Zaświadczenie</w:t>
            </w:r>
          </w:p>
          <w:p>
            <w:pPr>
              <w:keepNext w:val="0"/>
              <w:spacing w:before="0" w:after="0" w:line="240" w:lineRule="auto"/>
            </w:pPr>
            <w:r>
              <w:rPr>
                <w:rFonts w:ascii="Arial" w:hAnsi="Arial" w:eastAsia="Arial"/>
                <w:b w:val="0"/>
                <w:i/>
                <w:color w:val="444444"/>
                <w:sz w:val="14"/>
              </w:rPr>
              <w:t>wzór z zał. nr 3, numer wg rejestru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Odpis zaświadczenia</w:t>
            </w:r>
          </w:p>
          <w:p>
            <w:pPr>
              <w:keepNext w:val="0"/>
              <w:spacing w:before="0" w:after="0" w:line="240" w:lineRule="auto"/>
            </w:pPr>
            <w:r>
              <w:rPr>
                <w:rFonts w:ascii="Arial" w:hAnsi="Arial" w:eastAsia="Arial"/>
                <w:b w:val="0"/>
                <w:i/>
                <w:color w:val="444444"/>
                <w:sz w:val="14"/>
              </w:rPr>
              <w:t>w aktach osobowych uczestnika (§ 16 ust. 3)</w:t>
            </w:r>
          </w:p>
        </w:tc>
        <w:tc>
          <w:tcPr>
            <w:tcW w:type="dxa" w:w="2438"/>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Szkolenie okresowe kończy się egzaminem sprawdzającym przyswojenie wiedzy objętej programem oraz umiejętności wykonywania lub organizowania pracy zgodnie z przepisami i zasadami BHP, przed komisją powołaną przez organizatora (§ 16 ust. 1 i 2). Z pierwszego szkolenia okresowego może być zwolniona osoba, która przedłoży aktualne zaświadczenie o odbyciu w tym okresie u innego pracodawcy wymaganego szkolenia okresowego, albo odbyła w tym okresie szkolenie okresowe dla innej grupy stanowisk, jeżeli jego program obejmuje wymagany zakres (§ 15 ust. 5). Równoznaczne jest też szkolenie lub doskonalenie zawodowe, które uwzględnia program szkolenia okresowego (§ 17).</w:t>
      </w:r>
    </w:p>
    <w:p>
      <w:pPr>
        <w:keepNext/>
        <w:pBdr>
          <w:bottom w:val="single" w:sz="8" w:space="1" w:color="000000"/>
        </w:pBdr>
        <w:spacing w:before="140" w:after="60" w:line="240" w:lineRule="auto"/>
      </w:pPr>
      <w:r>
        <w:rPr>
          <w:rFonts w:ascii="Arial" w:hAnsi="Arial" w:eastAsia="Arial"/>
          <w:b/>
          <w:i w:val="0"/>
          <w:sz w:val="21"/>
        </w:rPr>
        <w:t>8. Dokumentacja organizatora (§ 5 pkt 6)</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program szkolenia (przechowywany przez pracodawcę, § 7 ust.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dziennik zajęć z listą obecności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protokół przebiegu egzaminu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rejestr wydanych zaświadczeń</w:t>
      </w:r>
    </w:p>
    <w:p>
      <w:pPr>
        <w:keepNext/>
        <w:pBdr>
          <w:bottom w:val="single" w:sz="8" w:space="1" w:color="000000"/>
        </w:pBdr>
        <w:spacing w:before="140" w:after="60" w:line="240" w:lineRule="auto"/>
      </w:pPr>
      <w:r>
        <w:rPr>
          <w:rFonts w:ascii="Arial" w:hAnsi="Arial" w:eastAsia="Arial"/>
          <w:b/>
          <w:i w:val="0"/>
          <w:sz w:val="21"/>
        </w:rPr>
        <w:t>9. Zmiany programu (§ 7 ust.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1381"/>
        <w:gridCol w:w="5524"/>
        <w:gridCol w:w="1578"/>
        <w:gridCol w:w="1381"/>
      </w:tblGrid>
      <w:tr>
        <w:trPr>
          <w:cantSplit/>
        </w:trPr>
        <w:tc>
          <w:tcPr>
            <w:tcW w:type="dxa" w:w="1381"/>
            <w:shd w:val="clear" w:color="auto" w:fill="EFEFEF"/>
          </w:tcPr>
          <w:p>
            <w:pPr>
              <w:keepNext w:val="0"/>
              <w:spacing w:before="0" w:after="0" w:line="240" w:lineRule="auto"/>
              <w:jc w:val="center"/>
            </w:pPr>
            <w:r>
              <w:rPr>
                <w:rFonts w:ascii="Arial" w:hAnsi="Arial" w:eastAsia="Arial"/>
                <w:b/>
                <w:i w:val="0"/>
                <w:sz w:val="16"/>
              </w:rPr>
              <w:t>Data</w:t>
            </w:r>
          </w:p>
        </w:tc>
        <w:tc>
          <w:tcPr>
            <w:tcW w:type="dxa" w:w="5524"/>
            <w:shd w:val="clear" w:color="auto" w:fill="EFEFEF"/>
          </w:tcPr>
          <w:p>
            <w:pPr>
              <w:keepNext w:val="0"/>
              <w:spacing w:before="0" w:after="0" w:line="240" w:lineRule="auto"/>
              <w:jc w:val="center"/>
            </w:pPr>
            <w:r>
              <w:rPr>
                <w:rFonts w:ascii="Arial" w:hAnsi="Arial" w:eastAsia="Arial"/>
                <w:b/>
                <w:i w:val="0"/>
                <w:sz w:val="16"/>
              </w:rPr>
              <w:t>Zakres zmiany</w:t>
            </w:r>
          </w:p>
        </w:tc>
        <w:tc>
          <w:tcPr>
            <w:tcW w:type="dxa" w:w="1578"/>
            <w:shd w:val="clear" w:color="auto" w:fill="EFEFEF"/>
          </w:tcPr>
          <w:p>
            <w:pPr>
              <w:keepNext w:val="0"/>
              <w:spacing w:before="0" w:after="0" w:line="240" w:lineRule="auto"/>
              <w:jc w:val="center"/>
            </w:pPr>
            <w:r>
              <w:rPr>
                <w:rFonts w:ascii="Arial" w:hAnsi="Arial" w:eastAsia="Arial"/>
                <w:b/>
                <w:i w:val="0"/>
                <w:sz w:val="16"/>
              </w:rPr>
              <w:t>Kto zmienił</w:t>
            </w:r>
          </w:p>
        </w:tc>
        <w:tc>
          <w:tcPr>
            <w:tcW w:type="dxa" w:w="1381"/>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1381"/>
          </w:tcPr>
          <w:p/>
        </w:tc>
        <w:tc>
          <w:tcPr>
            <w:tcW w:type="dxa" w:w="5524"/>
          </w:tcPr>
          <w:p/>
        </w:tc>
        <w:tc>
          <w:tcPr>
            <w:tcW w:type="dxa" w:w="1578"/>
          </w:tcPr>
          <w:p/>
        </w:tc>
        <w:tc>
          <w:tcPr>
            <w:tcW w:type="dxa" w:w="1381"/>
          </w:tcPr>
          <w:p/>
        </w:tc>
      </w:tr>
      <w:tr>
        <w:trPr>
          <w:trHeight w:val="481" w:hRule="atLeast"/>
          <w:cantSplit/>
        </w:trPr>
        <w:tc>
          <w:tcPr>
            <w:tcW w:type="dxa" w:w="1381"/>
          </w:tcPr>
          <w:p/>
        </w:tc>
        <w:tc>
          <w:tcPr>
            <w:tcW w:type="dxa" w:w="5524"/>
          </w:tcPr>
          <w:p/>
        </w:tc>
        <w:tc>
          <w:tcPr>
            <w:tcW w:type="dxa" w:w="1578"/>
          </w:tcPr>
          <w:p/>
        </w:tc>
        <w:tc>
          <w:tcPr>
            <w:tcW w:type="dxa" w:w="1381"/>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Opracował (data, podpis)</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organizator (data, podpis)</w:t>
            </w:r>
          </w:p>
        </w:tc>
      </w:tr>
    </w:tbl>
    <w:p>
      <w:pPr>
        <w:keepNext w:val="0"/>
        <w:spacing w:before="0" w:after="0" w:line="40" w:lineRule="exact"/>
      </w:pP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Program Szkolenia Okresowego Bhp Pracowników Inżynieryjno-Technicznych</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