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PROTOKÓŁ KONTROLI WYKOPU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sprawdzenie obudowy lub skarp (§ 148 pkt 3 i § 152 rozporządzenia w sprawie BHP podczas wykonywania robót budowlanych, Dz.U. 2003 nr 47 poz. 401)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Wykop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Budowa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nazwa, adres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Wykonawca robót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firma, kierownik robót, telefon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Lokalizacja wykopu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oś, odcinek, km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Przeznaczenie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np. sieć, fundament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Wymiary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długość × szerokość × głębokość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Grunt i woda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rodzaj gruntu, wody gruntowe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Zabezpieczenie ścian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skarpy (nachylenie) / obudowa: typ, producent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Dokumentacja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projekt, badania gruntu (§ 147 ust. 2, § 149)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Sieci podziemne w zasięgu robót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rodzaj, bezpieczna odległość i sposób robót ustalone z zarządcą (§ 144)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Lista kontrolna (zaznacz przy sprawdzeniu)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6116"/>
        <w:gridCol w:w="690"/>
        <w:gridCol w:w="887"/>
        <w:gridCol w:w="2170"/>
      </w:tblGrid>
      <w:tr>
        <w:trPr>
          <w:cantSplit/>
        </w:trPr>
        <w:tc>
          <w:tcPr>
            <w:tcW w:type="dxa" w:w="611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Element</w:t>
            </w:r>
          </w:p>
        </w:tc>
        <w:tc>
          <w:tcPr>
            <w:tcW w:type="dxa" w:w="69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OK</w:t>
            </w:r>
          </w:p>
        </w:tc>
        <w:tc>
          <w:tcPr>
            <w:tcW w:type="dxa" w:w="88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Usterka</w:t>
            </w:r>
          </w:p>
        </w:tc>
        <w:tc>
          <w:tcPr>
            <w:tcW w:type="dxa" w:w="217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Uwagi</w:t>
            </w:r>
          </w:p>
        </w:tc>
      </w:tr>
      <w:tr>
        <w:trPr>
          <w:trHeight w:val="481" w:hRule="atLeast"/>
          <w:cantSplit/>
        </w:trPr>
        <w:tc>
          <w:tcPr>
            <w:tcW w:type="dxa" w:w="6116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Ściany pionowe bez umocnień: do 1 m w gruntach zwartych, teren nieobciążony; 1–2 m tylko wg badań (§ 147)</w:t>
            </w:r>
          </w:p>
        </w:tc>
        <w:tc>
          <w:tcPr>
            <w:tcW w:type="dxa" w:w="690"/>
          </w:tcPr>
          <w:p/>
        </w:tc>
        <w:tc>
          <w:tcPr>
            <w:tcW w:type="dxa" w:w="887"/>
          </w:tcPr>
          <w:p/>
        </w:tc>
        <w:tc>
          <w:tcPr>
            <w:tcW w:type="dxa" w:w="2170"/>
          </w:tcPr>
          <w:p/>
        </w:tc>
      </w:tr>
      <w:tr>
        <w:trPr>
          <w:trHeight w:val="481" w:hRule="atLeast"/>
          <w:cantSplit/>
        </w:trPr>
        <w:tc>
          <w:tcPr>
            <w:tcW w:type="dxa" w:w="6116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Obudowa kompletna, zgodna z przeznaczeniem; ażurowa tylko w gruntach zwartych, nie zimą (§ 147)</w:t>
            </w:r>
          </w:p>
        </w:tc>
        <w:tc>
          <w:tcPr>
            <w:tcW w:type="dxa" w:w="690"/>
          </w:tcPr>
          <w:p/>
        </w:tc>
        <w:tc>
          <w:tcPr>
            <w:tcW w:type="dxa" w:w="887"/>
          </w:tcPr>
          <w:p/>
        </w:tc>
        <w:tc>
          <w:tcPr>
            <w:tcW w:type="dxa" w:w="2170"/>
          </w:tcPr>
          <w:p/>
        </w:tc>
      </w:tr>
      <w:tr>
        <w:trPr>
          <w:trHeight w:val="481" w:hRule="atLeast"/>
          <w:cantSplit/>
        </w:trPr>
        <w:tc>
          <w:tcPr>
            <w:tcW w:type="dxa" w:w="6116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Skarpy: nachylenie zgodne z dokumentacją, naruszony grunt usunięty (§ 148 pkt 2, § 149)</w:t>
            </w:r>
          </w:p>
        </w:tc>
        <w:tc>
          <w:tcPr>
            <w:tcW w:type="dxa" w:w="690"/>
          </w:tcPr>
          <w:p/>
        </w:tc>
        <w:tc>
          <w:tcPr>
            <w:tcW w:type="dxa" w:w="887"/>
          </w:tcPr>
          <w:p/>
        </w:tc>
        <w:tc>
          <w:tcPr>
            <w:tcW w:type="dxa" w:w="2170"/>
          </w:tcPr>
          <w:p/>
        </w:tc>
      </w:tr>
      <w:tr>
        <w:trPr>
          <w:trHeight w:val="481" w:hRule="atLeast"/>
          <w:cantSplit/>
        </w:trPr>
        <w:tc>
          <w:tcPr>
            <w:tcW w:type="dxa" w:w="6116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Odpływ wody od wykopu w pasie 3 × głębokość wykopu (§ 148 pkt 1)</w:t>
            </w:r>
          </w:p>
        </w:tc>
        <w:tc>
          <w:tcPr>
            <w:tcW w:type="dxa" w:w="690"/>
          </w:tcPr>
          <w:p/>
        </w:tc>
        <w:tc>
          <w:tcPr>
            <w:tcW w:type="dxa" w:w="887"/>
          </w:tcPr>
          <w:p/>
        </w:tc>
        <w:tc>
          <w:tcPr>
            <w:tcW w:type="dxa" w:w="2170"/>
          </w:tcPr>
          <w:p/>
        </w:tc>
      </w:tr>
      <w:tr>
        <w:trPr>
          <w:trHeight w:val="481" w:hRule="atLeast"/>
          <w:cantSplit/>
        </w:trPr>
        <w:tc>
          <w:tcPr>
            <w:tcW w:type="dxa" w:w="6116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Brak nawisów gruntu (§ 157)</w:t>
            </w:r>
          </w:p>
        </w:tc>
        <w:tc>
          <w:tcPr>
            <w:tcW w:type="dxa" w:w="690"/>
          </w:tcPr>
          <w:p/>
        </w:tc>
        <w:tc>
          <w:tcPr>
            <w:tcW w:type="dxa" w:w="887"/>
          </w:tcPr>
          <w:p/>
        </w:tc>
        <w:tc>
          <w:tcPr>
            <w:tcW w:type="dxa" w:w="2170"/>
          </w:tcPr>
          <w:p/>
        </w:tc>
      </w:tr>
      <w:tr>
        <w:trPr>
          <w:trHeight w:val="481" w:hRule="atLeast"/>
          <w:cantSplit/>
        </w:trPr>
        <w:tc>
          <w:tcPr>
            <w:tcW w:type="dxa" w:w="6116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Zejścia przy głębokości ponad 1 m, odstęp nie większy niż 20 m (§ 151)</w:t>
            </w:r>
          </w:p>
        </w:tc>
        <w:tc>
          <w:tcPr>
            <w:tcW w:type="dxa" w:w="690"/>
          </w:tcPr>
          <w:p/>
        </w:tc>
        <w:tc>
          <w:tcPr>
            <w:tcW w:type="dxa" w:w="887"/>
          </w:tcPr>
          <w:p/>
        </w:tc>
        <w:tc>
          <w:tcPr>
            <w:tcW w:type="dxa" w:w="2170"/>
          </w:tcPr>
          <w:p/>
        </w:tc>
      </w:tr>
      <w:tr>
        <w:trPr>
          <w:trHeight w:val="481" w:hRule="atLeast"/>
          <w:cantSplit/>
        </w:trPr>
        <w:tc>
          <w:tcPr>
            <w:tcW w:type="dxa" w:w="6116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Balustrady 1,1 m, min. 1 m od krawędzi, światło czerwone na noc albo przykrycie (§ 145)</w:t>
            </w:r>
          </w:p>
        </w:tc>
        <w:tc>
          <w:tcPr>
            <w:tcW w:type="dxa" w:w="690"/>
          </w:tcPr>
          <w:p/>
        </w:tc>
        <w:tc>
          <w:tcPr>
            <w:tcW w:type="dxa" w:w="887"/>
          </w:tcPr>
          <w:p/>
        </w:tc>
        <w:tc>
          <w:tcPr>
            <w:tcW w:type="dxa" w:w="2170"/>
          </w:tcPr>
          <w:p/>
        </w:tc>
      </w:tr>
      <w:tr>
        <w:trPr>
          <w:trHeight w:val="481" w:hRule="atLeast"/>
          <w:cantSplit/>
        </w:trPr>
        <w:tc>
          <w:tcPr>
            <w:tcW w:type="dxa" w:w="6116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Miejsca niebezpieczne ogrodzone, napisy ostrzegawcze albo stały dozór (§ 144 ust. 3, § 146)</w:t>
            </w:r>
          </w:p>
        </w:tc>
        <w:tc>
          <w:tcPr>
            <w:tcW w:type="dxa" w:w="690"/>
          </w:tcPr>
          <w:p/>
        </w:tc>
        <w:tc>
          <w:tcPr>
            <w:tcW w:type="dxa" w:w="887"/>
          </w:tcPr>
          <w:p/>
        </w:tc>
        <w:tc>
          <w:tcPr>
            <w:tcW w:type="dxa" w:w="2170"/>
          </w:tcPr>
          <w:p/>
        </w:tc>
      </w:tr>
      <w:tr>
        <w:trPr>
          <w:trHeight w:val="481" w:hRule="atLeast"/>
          <w:cantSplit/>
        </w:trPr>
        <w:tc>
          <w:tcPr>
            <w:tcW w:type="dxa" w:w="6116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Urobek i materiały min. 0,6 m od krawędzi obudowanej, poza klinem odłamu (§ 154)</w:t>
            </w:r>
          </w:p>
        </w:tc>
        <w:tc>
          <w:tcPr>
            <w:tcW w:type="dxa" w:w="690"/>
          </w:tcPr>
          <w:p/>
        </w:tc>
        <w:tc>
          <w:tcPr>
            <w:tcW w:type="dxa" w:w="887"/>
          </w:tcPr>
          <w:p/>
        </w:tc>
        <w:tc>
          <w:tcPr>
            <w:tcW w:type="dxa" w:w="2170"/>
          </w:tcPr>
          <w:p/>
        </w:tc>
      </w:tr>
      <w:tr>
        <w:trPr>
          <w:trHeight w:val="481" w:hRule="atLeast"/>
          <w:cantSplit/>
        </w:trPr>
        <w:tc>
          <w:tcPr>
            <w:tcW w:type="dxa" w:w="6116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Pojazdy poza klinem odłamu, koparka min. 0,6 m poza klinem (§ 155, § 158 ust. 1)</w:t>
            </w:r>
          </w:p>
        </w:tc>
        <w:tc>
          <w:tcPr>
            <w:tcW w:type="dxa" w:w="690"/>
          </w:tcPr>
          <w:p/>
        </w:tc>
        <w:tc>
          <w:tcPr>
            <w:tcW w:type="dxa" w:w="887"/>
          </w:tcPr>
          <w:p/>
        </w:tc>
        <w:tc>
          <w:tcPr>
            <w:tcW w:type="dxa" w:w="2170"/>
          </w:tcPr>
          <w:p/>
        </w:tc>
      </w:tr>
      <w:tr>
        <w:trPr>
          <w:trHeight w:val="481" w:hRule="atLeast"/>
          <w:cantSplit/>
        </w:trPr>
        <w:tc>
          <w:tcPr>
            <w:tcW w:type="dxa" w:w="6116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Strefa niebezpieczna maszyn oznakowana, nikt między koparką a ścianą (§ 158 ust. 2, § 159)</w:t>
            </w:r>
          </w:p>
        </w:tc>
        <w:tc>
          <w:tcPr>
            <w:tcW w:type="dxa" w:w="690"/>
          </w:tcPr>
          <w:p/>
        </w:tc>
        <w:tc>
          <w:tcPr>
            <w:tcW w:type="dxa" w:w="887"/>
          </w:tcPr>
          <w:p/>
        </w:tc>
        <w:tc>
          <w:tcPr>
            <w:tcW w:type="dxa" w:w="2170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Sprawdzenia (§ 152: przed każdym rozpoczęciem robót; § 148 pkt 3: skarpy po deszczu, mrozie, przerwie)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183"/>
        <w:gridCol w:w="1183"/>
        <w:gridCol w:w="3157"/>
        <w:gridCol w:w="1381"/>
        <w:gridCol w:w="1973"/>
        <w:gridCol w:w="986"/>
      </w:tblGrid>
      <w:tr>
        <w:trPr>
          <w:cantSplit/>
        </w:trPr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Data, godz.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Powód (R, D, M, P, I)</w:t>
            </w:r>
          </w:p>
        </w:tc>
        <w:tc>
          <w:tcPr>
            <w:tcW w:type="dxa" w:w="315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Wynik / usterki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Decyzja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Sprawdzający: imię, nazwisko, funkcja</w:t>
            </w:r>
          </w:p>
        </w:tc>
        <w:tc>
          <w:tcPr>
            <w:tcW w:type="dxa" w:w="98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1183"/>
          </w:tcPr>
          <w:p/>
        </w:tc>
        <w:tc>
          <w:tcPr>
            <w:tcW w:type="dxa" w:w="3157"/>
          </w:tcPr>
          <w:p/>
        </w:tc>
        <w:tc>
          <w:tcPr>
            <w:tcW w:type="dxa" w:w="1381"/>
          </w:tcPr>
          <w:p/>
        </w:tc>
        <w:tc>
          <w:tcPr>
            <w:tcW w:type="dxa" w:w="1973"/>
          </w:tcPr>
          <w:p/>
        </w:tc>
        <w:tc>
          <w:tcPr>
            <w:tcW w:type="dxa" w:w="986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1183"/>
          </w:tcPr>
          <w:p/>
        </w:tc>
        <w:tc>
          <w:tcPr>
            <w:tcW w:type="dxa" w:w="3157"/>
          </w:tcPr>
          <w:p/>
        </w:tc>
        <w:tc>
          <w:tcPr>
            <w:tcW w:type="dxa" w:w="1381"/>
          </w:tcPr>
          <w:p/>
        </w:tc>
        <w:tc>
          <w:tcPr>
            <w:tcW w:type="dxa" w:w="1973"/>
          </w:tcPr>
          <w:p/>
        </w:tc>
        <w:tc>
          <w:tcPr>
            <w:tcW w:type="dxa" w:w="986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1183"/>
          </w:tcPr>
          <w:p/>
        </w:tc>
        <w:tc>
          <w:tcPr>
            <w:tcW w:type="dxa" w:w="3157"/>
          </w:tcPr>
          <w:p/>
        </w:tc>
        <w:tc>
          <w:tcPr>
            <w:tcW w:type="dxa" w:w="1381"/>
          </w:tcPr>
          <w:p/>
        </w:tc>
        <w:tc>
          <w:tcPr>
            <w:tcW w:type="dxa" w:w="1973"/>
          </w:tcPr>
          <w:p/>
        </w:tc>
        <w:tc>
          <w:tcPr>
            <w:tcW w:type="dxa" w:w="986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1183"/>
          </w:tcPr>
          <w:p/>
        </w:tc>
        <w:tc>
          <w:tcPr>
            <w:tcW w:type="dxa" w:w="3157"/>
          </w:tcPr>
          <w:p/>
        </w:tc>
        <w:tc>
          <w:tcPr>
            <w:tcW w:type="dxa" w:w="1381"/>
          </w:tcPr>
          <w:p/>
        </w:tc>
        <w:tc>
          <w:tcPr>
            <w:tcW w:type="dxa" w:w="1973"/>
          </w:tcPr>
          <w:p/>
        </w:tc>
        <w:tc>
          <w:tcPr>
            <w:tcW w:type="dxa" w:w="986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1183"/>
          </w:tcPr>
          <w:p/>
        </w:tc>
        <w:tc>
          <w:tcPr>
            <w:tcW w:type="dxa" w:w="3157"/>
          </w:tcPr>
          <w:p/>
        </w:tc>
        <w:tc>
          <w:tcPr>
            <w:tcW w:type="dxa" w:w="1381"/>
          </w:tcPr>
          <w:p/>
        </w:tc>
        <w:tc>
          <w:tcPr>
            <w:tcW w:type="dxa" w:w="1973"/>
          </w:tcPr>
          <w:p/>
        </w:tc>
        <w:tc>
          <w:tcPr>
            <w:tcW w:type="dxa" w:w="986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1183"/>
          </w:tcPr>
          <w:p/>
        </w:tc>
        <w:tc>
          <w:tcPr>
            <w:tcW w:type="dxa" w:w="3157"/>
          </w:tcPr>
          <w:p/>
        </w:tc>
        <w:tc>
          <w:tcPr>
            <w:tcW w:type="dxa" w:w="1381"/>
          </w:tcPr>
          <w:p/>
        </w:tc>
        <w:tc>
          <w:tcPr>
            <w:tcW w:type="dxa" w:w="1973"/>
          </w:tcPr>
          <w:p/>
        </w:tc>
        <w:tc>
          <w:tcPr>
            <w:tcW w:type="dxa" w:w="986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1183"/>
          </w:tcPr>
          <w:p/>
        </w:tc>
        <w:tc>
          <w:tcPr>
            <w:tcW w:type="dxa" w:w="3157"/>
          </w:tcPr>
          <w:p/>
        </w:tc>
        <w:tc>
          <w:tcPr>
            <w:tcW w:type="dxa" w:w="1381"/>
          </w:tcPr>
          <w:p/>
        </w:tc>
        <w:tc>
          <w:tcPr>
            <w:tcW w:type="dxa" w:w="1973"/>
          </w:tcPr>
          <w:p/>
        </w:tc>
        <w:tc>
          <w:tcPr>
            <w:tcW w:type="dxa" w:w="986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1183"/>
          </w:tcPr>
          <w:p/>
        </w:tc>
        <w:tc>
          <w:tcPr>
            <w:tcW w:type="dxa" w:w="3157"/>
          </w:tcPr>
          <w:p/>
        </w:tc>
        <w:tc>
          <w:tcPr>
            <w:tcW w:type="dxa" w:w="1381"/>
          </w:tcPr>
          <w:p/>
        </w:tc>
        <w:tc>
          <w:tcPr>
            <w:tcW w:type="dxa" w:w="1973"/>
          </w:tcPr>
          <w:p/>
        </w:tc>
        <w:tc>
          <w:tcPr>
            <w:tcW w:type="dxa" w:w="986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1183"/>
          </w:tcPr>
          <w:p/>
        </w:tc>
        <w:tc>
          <w:tcPr>
            <w:tcW w:type="dxa" w:w="3157"/>
          </w:tcPr>
          <w:p/>
        </w:tc>
        <w:tc>
          <w:tcPr>
            <w:tcW w:type="dxa" w:w="1381"/>
          </w:tcPr>
          <w:p/>
        </w:tc>
        <w:tc>
          <w:tcPr>
            <w:tcW w:type="dxa" w:w="1973"/>
          </w:tcPr>
          <w:p/>
        </w:tc>
        <w:tc>
          <w:tcPr>
            <w:tcW w:type="dxa" w:w="986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1183"/>
          </w:tcPr>
          <w:p/>
        </w:tc>
        <w:tc>
          <w:tcPr>
            <w:tcW w:type="dxa" w:w="3157"/>
          </w:tcPr>
          <w:p/>
        </w:tc>
        <w:tc>
          <w:tcPr>
            <w:tcW w:type="dxa" w:w="1381"/>
          </w:tcPr>
          <w:p/>
        </w:tc>
        <w:tc>
          <w:tcPr>
            <w:tcW w:type="dxa" w:w="1973"/>
          </w:tcPr>
          <w:p/>
        </w:tc>
        <w:tc>
          <w:tcPr>
            <w:tcW w:type="dxa" w:w="986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1183"/>
          </w:tcPr>
          <w:p/>
        </w:tc>
        <w:tc>
          <w:tcPr>
            <w:tcW w:type="dxa" w:w="3157"/>
          </w:tcPr>
          <w:p/>
        </w:tc>
        <w:tc>
          <w:tcPr>
            <w:tcW w:type="dxa" w:w="1381"/>
          </w:tcPr>
          <w:p/>
        </w:tc>
        <w:tc>
          <w:tcPr>
            <w:tcW w:type="dxa" w:w="1973"/>
          </w:tcPr>
          <w:p/>
        </w:tc>
        <w:tc>
          <w:tcPr>
            <w:tcW w:type="dxa" w:w="986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1183"/>
          </w:tcPr>
          <w:p/>
        </w:tc>
        <w:tc>
          <w:tcPr>
            <w:tcW w:type="dxa" w:w="3157"/>
          </w:tcPr>
          <w:p/>
        </w:tc>
        <w:tc>
          <w:tcPr>
            <w:tcW w:type="dxa" w:w="1381"/>
          </w:tcPr>
          <w:p/>
        </w:tc>
        <w:tc>
          <w:tcPr>
            <w:tcW w:type="dxa" w:w="1973"/>
          </w:tcPr>
          <w:p/>
        </w:tc>
        <w:tc>
          <w:tcPr>
            <w:tcW w:type="dxa" w:w="986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1183"/>
          </w:tcPr>
          <w:p/>
        </w:tc>
        <w:tc>
          <w:tcPr>
            <w:tcW w:type="dxa" w:w="3157"/>
          </w:tcPr>
          <w:p/>
        </w:tc>
        <w:tc>
          <w:tcPr>
            <w:tcW w:type="dxa" w:w="1381"/>
          </w:tcPr>
          <w:p/>
        </w:tc>
        <w:tc>
          <w:tcPr>
            <w:tcW w:type="dxa" w:w="1973"/>
          </w:tcPr>
          <w:p/>
        </w:tc>
        <w:tc>
          <w:tcPr>
            <w:tcW w:type="dxa" w:w="986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Powód: R rozpoczęcie robót w wykopie, D deszcz, M mróz, P dłuższa przerwa w pracy, I inne (np. obciążenie przy krawędzi, uszkodzenie obudowy). Decyzja: roboty dopuszczone, dopuszczone po usunięciu usterek, wstrzymane.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Zasypywanie wykopu i demontaż obudowy (§ 156)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Data, sposób demontażu, uwagi</w:t>
            </w: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 xml:space="preserve">  obudowę usuwa się od dna stopniowo; jednoetapowo do 0,5 m w gruntach spoistych i do 0,3 m w pozostałych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Każdorazowe rozpoczęcie robót w wykopie wymaga sprawdzenia stanu jego obudowy lub skarp (§ 152). W czasie wykonywania wykopów ze skarpami o bezpiecznym nachyleniu należy sprawdzać stan skarpy po deszczu, mrozie lub po dłuższej przerwie w pracy (§ 148 pkt 3). Bezpośredni nadzór nad bezpieczeństwem i higieną pracy na stanowiskach pracy sprawują kierownik robót oraz mistrz budowlany (§ 5).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Kontroli Wykopu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