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0"/>
        <w:spacing w:before="0" w:after="40" w:line="252" w:lineRule="auto"/>
        <w:jc w:val="center"/>
      </w:pPr>
      <w:r>
        <w:rPr>
          <w:rFonts w:ascii="Arial" w:hAnsi="Arial" w:eastAsia="Arial"/>
          <w:b/>
          <w:i w:val="0"/>
          <w:sz w:val="29"/>
        </w:rPr>
        <w:t>PROTOKÓŁ ROZLICZENIA KOŃCOWEGO ROBÓT BUDOWLANYCH</w:t>
      </w:r>
    </w:p>
    <w:p>
      <w:pPr>
        <w:keepNext w:val="0"/>
        <w:spacing w:before="0" w:after="160" w:line="252" w:lineRule="auto"/>
        <w:jc w:val="center"/>
      </w:pPr>
      <w:r>
        <w:rPr>
          <w:rFonts w:ascii="Arial" w:hAnsi="Arial" w:eastAsia="Arial"/>
          <w:b w:val="0"/>
          <w:i/>
          <w:color w:val="333333"/>
          <w:sz w:val="18"/>
        </w:rPr>
        <w:t>zestawienie wynagrodzenia, płatności, potrąceń i kaucji po odbiorze końcowym (art. 647, 629, 630, 632 i 654 Kodeksu cywilnego)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nr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Miejscowość i data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1. Strony i umowa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Zamawiający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inwestor albo generalny 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Wykonawca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generalny wykonawca albo podwykonawca: nazwa, adres, NIP</w:t>
            </w:r>
          </w:p>
        </w:tc>
        <w:tc>
          <w:tcPr>
            <w:tcW w:type="dxa" w:w="7371"/>
            <w:gridSpan w:val="3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Umowa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 i data zawarcia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Inwestycja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nazwa i adres budowy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Rodzaj wynagrodzenia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ryczałtowe / kosztorysowe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Protokół odbioru końcowego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Aneksy do umowy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numery i daty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Okres rękojmi i gwarancji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od ... do ...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2. Wynagrodzenie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2"/>
        <w:gridCol w:w="2959"/>
        <w:gridCol w:w="1973"/>
      </w:tblGrid>
      <w:tr>
        <w:trPr>
          <w:cantSplit/>
        </w:trPr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Tytuł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Podstawa (umowa, aneks, zlecenie, protokół)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netto (zł)</w:t>
            </w:r>
          </w:p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Wynagrodzenie z umowy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Zmiany aneksami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Roboty dodatkowe zlecone na piśmie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Roboty zaniechane (minus)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Wynagrodzenie należne razem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3. Płatności i potrącenia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4932"/>
        <w:gridCol w:w="2959"/>
        <w:gridCol w:w="1973"/>
      </w:tblGrid>
      <w:tr>
        <w:trPr>
          <w:cantSplit/>
        </w:trPr>
        <w:tc>
          <w:tcPr>
            <w:tcW w:type="dxa" w:w="4932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Tytuł</w:t>
            </w:r>
          </w:p>
        </w:tc>
        <w:tc>
          <w:tcPr>
            <w:tcW w:type="dxa" w:w="2959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Dokument (faktura, nota, oświadczenie)</w:t>
            </w:r>
          </w:p>
        </w:tc>
        <w:tc>
          <w:tcPr>
            <w:tcW w:type="dxa" w:w="1973"/>
            <w:shd w:val="clear" w:color="auto" w:fill="EFEFEF"/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/>
                <w:i w:val="0"/>
                <w:sz w:val="16"/>
              </w:rPr>
              <w:t>Kwota netto (zł)</w:t>
            </w:r>
          </w:p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Zapłacone faktury częściowe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Zaliczki rozliczone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Kary umowne potrącone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Inne potrącenia (np. media, wykonanie zastępcze)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  <w:tr>
        <w:trPr>
          <w:trHeight w:val="481" w:hRule="atLeast"/>
          <w:cantSplit/>
        </w:trPr>
        <w:tc>
          <w:tcPr>
            <w:tcW w:type="dxa" w:w="4932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 w:val="0"/>
                <w:sz w:val="17"/>
              </w:rPr>
              <w:t>Razem zapłacone i potrącone</w:t>
            </w:r>
          </w:p>
        </w:tc>
        <w:tc>
          <w:tcPr>
            <w:tcW w:type="dxa" w:w="2959"/>
          </w:tcPr>
          <w:p/>
        </w:tc>
        <w:tc>
          <w:tcPr>
            <w:tcW w:type="dxa" w:w="1973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4. Saldo i kaucja</w:t>
      </w:r>
    </w:p>
    <w:tbl>
      <w:tblPr>
        <w:tblStyle w:val="TableGrid"/>
        <w:tblW w:type="auto" w:w="0"/>
        <w:jc w:val="center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2494"/>
        <w:gridCol w:w="2438"/>
        <w:gridCol w:w="2494"/>
        <w:gridCol w:w="2438"/>
      </w:tblGrid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Do zapłaty wykonawcy (netto)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VAT i brutto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Kaucja / kwota zatrzymana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kwota, % wynagrodzenia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Zwrot kaucji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część i termin po odbiorze, część po rękojmi</w:t>
            </w:r>
          </w:p>
        </w:tc>
        <w:tc>
          <w:tcPr>
            <w:tcW w:type="dxa" w:w="2438"/>
          </w:tcPr>
          <w:p/>
        </w:tc>
      </w:tr>
      <w:tr>
        <w:trPr>
          <w:trHeight w:val="481" w:hRule="atLeast"/>
          <w:cantSplit/>
        </w:trPr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Faktura końcowa</w:t>
            </w:r>
          </w:p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 w:val="0"/>
                <w:i/>
                <w:color w:val="444444"/>
                <w:sz w:val="14"/>
              </w:rPr>
              <w:t>nr, data, termin płatności</w:t>
            </w:r>
          </w:p>
        </w:tc>
        <w:tc>
          <w:tcPr>
            <w:tcW w:type="dxa" w:w="2438"/>
          </w:tcPr>
          <w:p/>
        </w:tc>
        <w:tc>
          <w:tcPr>
            <w:tcW w:type="dxa" w:w="2494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Rachunek wykonawcy</w:t>
            </w:r>
          </w:p>
        </w:tc>
        <w:tc>
          <w:tcPr>
            <w:tcW w:type="dxa" w:w="2438"/>
          </w:tcPr>
          <w:p/>
        </w:tc>
      </w:tr>
    </w:tbl>
    <w:p>
      <w:pPr>
        <w:keepNext w:val="0"/>
        <w:spacing w:before="0" w:after="0" w:line="40" w:lineRule="exact"/>
      </w:pPr>
    </w:p>
    <w:p>
      <w:pPr>
        <w:keepNext/>
        <w:pBdr>
          <w:bottom w:val="single" w:sz="8" w:space="1" w:color="000000"/>
        </w:pBdr>
        <w:spacing w:before="140" w:after="60" w:line="240" w:lineRule="auto"/>
      </w:pPr>
      <w:r>
        <w:rPr>
          <w:rFonts w:ascii="Arial" w:hAnsi="Arial" w:eastAsia="Arial"/>
          <w:b/>
          <w:i w:val="0"/>
          <w:sz w:val="21"/>
        </w:rPr>
        <w:t>5. Ustalenia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strony zgodnie potwierdzają powyższe rozliczenie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strony nie zgadzają się co do pozycji nr ........, stanowiska stron w uwagach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wykonawca oświadcza, że rozliczył się z podwykonawcami za roboty objęte umową (oświadczenie i dowody w załączeniu)</w:t>
      </w:r>
    </w:p>
    <w:p>
      <w:pPr>
        <w:keepNext w:val="0"/>
        <w:tabs>
          <w:tab w:pos="369" w:val="left"/>
        </w:tabs>
        <w:spacing w:before="30" w:after="30" w:line="269" w:lineRule="auto"/>
        <w:ind w:left="369" w:hanging="369"/>
      </w:pPr>
      <w:r>
        <w:rPr>
          <w:rFonts w:ascii="Arial" w:hAnsi="Arial" w:eastAsia="Arial"/>
          <w:b w:val="0"/>
          <w:i w:val="0"/>
          <w:sz w:val="21"/>
        </w:rPr>
        <w:t>☐</w:t>
        <w:tab/>
      </w:r>
      <w:r>
        <w:rPr>
          <w:rFonts w:ascii="Arial" w:hAnsi="Arial" w:eastAsia="Arial"/>
          <w:b w:val="0"/>
          <w:i w:val="0"/>
          <w:sz w:val="18"/>
        </w:rPr>
        <w:t>rozliczenie nie obejmuje roszczeń z rękojmi i gwarancji</w:t>
      </w:r>
    </w:p>
    <w:tbl>
      <w:tblPr>
        <w:tblStyle w:val="TableGrid"/>
        <w:tblW w:type="auto" w:w="0"/>
        <w:tblLayout w:type="fixed"/>
        <w:tblLayout w:type="fixed"/>
        <w:tblCellMar>
          <w:top w:w="40" w:type="dxa"/>
          <w:left w:w="80" w:type="dxa"/>
          <w:bottom w:w="40" w:type="dxa"/>
          <w:right w:w="80" w:type="dxa"/>
        </w:tblCellMar>
        <w:tblLook w:firstColumn="1" w:firstRow="1" w:lastColumn="0" w:lastRow="0" w:noHBand="0" w:noVBand="1" w:val="04A0"/>
      </w:tblPr>
      <w:tblGrid>
        <w:gridCol w:w="9865"/>
      </w:tblGrid>
      <w:tr>
        <w:tc>
          <w:tcPr>
            <w:tcW w:type="dxa" w:w="9865"/>
            <w:shd w:val="clear" w:color="auto" w:fill="EFEFEF"/>
          </w:tcPr>
          <w:p>
            <w:pPr>
              <w:keepNext w:val="0"/>
              <w:spacing w:before="0" w:after="0" w:line="240" w:lineRule="auto"/>
            </w:pPr>
            <w:r>
              <w:rPr>
                <w:rFonts w:ascii="Arial" w:hAnsi="Arial" w:eastAsia="Arial"/>
                <w:b/>
                <w:i w:val="0"/>
                <w:sz w:val="17"/>
              </w:rPr>
              <w:t>Uwagi stron</w:t>
            </w:r>
          </w:p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  <w:tr>
        <w:trPr>
          <w:trHeight w:val="453" w:hRule="atLeast"/>
        </w:trPr>
        <w:tc>
          <w:tcPr>
            <w:tcW w:type="dxa" w:w="9865"/>
          </w:tcPr>
          <w:p/>
        </w:tc>
      </w:tr>
    </w:tbl>
    <w:p>
      <w:pPr>
        <w:keepNext w:val="0"/>
        <w:spacing w:before="0" w:after="0" w:line="40" w:lineRule="exact"/>
      </w:pPr>
    </w:p>
    <w:tbl>
      <w:tblPr>
        <w:tblW w:type="auto" w:w="0"/>
        <w:jc w:val="center"/>
        <w:tblLayout w:type="fixed"/>
        <w:tblLayout w:type="fixed"/>
        <w:tblCellMar>
          <w:top w:w="20" w:type="dxa"/>
          <w:left w:w="40" w:type="dxa"/>
          <w:bottom w:w="20" w:type="dxa"/>
          <w:right w:w="40" w:type="dxa"/>
        </w:tblCellMar>
        <w:tblLook w:firstColumn="1" w:firstRow="1" w:lastColumn="0" w:lastRow="0" w:noHBand="0" w:noVBand="1" w:val="04A0"/>
      </w:tblPr>
      <w:tblGrid>
        <w:gridCol w:w="4706"/>
        <w:gridCol w:w="453"/>
        <w:gridCol w:w="4706"/>
      </w:tblGrid>
      <w:tr>
        <w:trPr>
          <w:trHeight w:val="850" w:hRule="atLeast"/>
          <w:cantSplit/>
        </w:trPr>
        <w:tc>
          <w:tcPr>
            <w:tcW w:type="dxa" w:w="4706"/>
          </w:tcPr>
          <w:p/>
        </w:tc>
        <w:tc>
          <w:tcPr>
            <w:tcW w:type="dxa" w:w="453"/>
          </w:tcPr>
          <w:p/>
        </w:tc>
        <w:tc>
          <w:tcPr>
            <w:tcW w:type="dxa" w:w="4706"/>
          </w:tcPr>
          <w:p/>
        </w:tc>
      </w:tr>
      <w:tr>
        <w:trPr>
          <w:cantSplit/>
        </w:trPr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zamawiającego</w:t>
            </w:r>
          </w:p>
        </w:tc>
        <w:tc>
          <w:tcPr>
            <w:tcW w:type="dxa" w:w="453"/>
          </w:tcPr>
          <w:p/>
        </w:tc>
        <w:tc>
          <w:tcPr>
            <w:tcW w:type="dxa" w:w="4706"/>
            <w:tcBorders>
              <w:top w:val="dotted" w:sz="6" w:space="0" w:color="000000"/>
            </w:tcBorders>
          </w:tcPr>
          <w:p>
            <w:pPr>
              <w:keepNext w:val="0"/>
              <w:spacing w:before="0" w:after="0" w:line="240" w:lineRule="auto"/>
              <w:jc w:val="center"/>
            </w:pPr>
            <w:r>
              <w:rPr>
                <w:rFonts w:ascii="Arial" w:hAnsi="Arial" w:eastAsia="Arial"/>
                <w:b w:val="0"/>
                <w:i w:val="0"/>
                <w:sz w:val="15"/>
              </w:rPr>
              <w:t>Za wykonawcę</w:t>
            </w:r>
          </w:p>
        </w:tc>
      </w:tr>
    </w:tbl>
    <w:p>
      <w:pPr>
        <w:keepNext w:val="0"/>
        <w:spacing w:before="0" w:after="0" w:line="40" w:lineRule="exact"/>
      </w:pPr>
    </w:p>
    <w:p>
      <w:pPr>
        <w:keepNext w:val="0"/>
        <w:spacing w:before="80" w:after="40" w:line="269" w:lineRule="auto"/>
        <w:jc w:val="both"/>
      </w:pPr>
      <w:r>
        <w:rPr>
          <w:rFonts w:ascii="Arial" w:hAnsi="Arial" w:eastAsia="Arial"/>
          <w:b w:val="0"/>
          <w:i w:val="0"/>
          <w:color w:val="333333"/>
          <w:sz w:val="15"/>
        </w:rPr>
        <w:t>Przy wynagrodzeniu ryczałtowym przyjmujący zamówienie nie może żądać podwyższenia wynagrodzenia, chociażby w czasie zawarcia umowy nie można było przewidzieć rozmiaru lub kosztów prac (art. 632 § 1 KC). Przy wynagrodzeniu kosztorysowym podwyższenie za prace nieprzewidziane w zestawieniu jest możliwe na zasadach art. 630 § 1 KC, ale nie za prace dodatkowe wykonane bez zgody zamawiającego (art. 630 § 2 KC). W braku odmiennego postanowienia umowy inwestor na żądanie wykonawcy przyjmuje roboty częściowo za zapłatą odpowiedniej części wynagrodzenia (art. 654 KC).</w:t>
      </w:r>
    </w:p>
    <w:sectPr w:rsidR="00FC693F" w:rsidRPr="0006063C" w:rsidSect="00034616">
      <w:footerReference w:type="default" r:id="rId9"/>
      <w:pgSz w:w="11906" w:h="16838"/>
      <w:pgMar w:top="907" w:right="1020" w:bottom="1134" w:left="1020" w:header="72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keepNext w:val="0"/>
      <w:pBdr>
        <w:top w:val="single" w:sz="4" w:space="4" w:color="999999"/>
      </w:pBdr>
      <w:tabs>
        <w:tab w:pos="9865" w:val="right"/>
      </w:tabs>
      <w:spacing w:before="0" w:after="0" w:line="240" w:lineRule="auto"/>
    </w:pPr>
    <w:r>
      <w:rPr>
        <w:rFonts w:ascii="Arial" w:hAnsi="Arial" w:eastAsia="Arial"/>
        <w:b w:val="0"/>
        <w:i w:val="0"/>
        <w:color w:val="666666"/>
        <w:sz w:val="15"/>
      </w:rPr>
      <w:t>Dostosuj wzór do swojej umowy i stanu faktycznego.</w:t>
    </w:r>
    <w:r>
      <w:rPr>
        <w:rFonts w:ascii="Arial" w:hAnsi="Arial" w:eastAsia="Arial"/>
        <w:b w:val="0"/>
        <w:i w:val="0"/>
        <w:color w:val="888888"/>
        <w:sz w:val="15"/>
      </w:rPr>
      <w:tab/>
      <w:t xml:space="preserve">atestero.pl  ·  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PAGE </w:instrText>
      <w:fldChar w:fldCharType="separate"/>
      <w:t>1</w:t>
      <w:fldChar w:fldCharType="end"/>
    </w:r>
    <w:r>
      <w:rPr>
        <w:rFonts w:ascii="Arial" w:hAnsi="Arial" w:eastAsia="Arial"/>
        <w:b w:val="0"/>
        <w:i w:val="0"/>
        <w:color w:val="888888"/>
        <w:sz w:val="15"/>
      </w:rPr>
      <w:t>/</w:t>
    </w:r>
    <w:r>
      <w:rPr>
        <w:rFonts w:ascii="Arial" w:hAnsi="Arial" w:eastAsia="Arial"/>
        <w:b w:val="0"/>
        <w:i w:val="0"/>
        <w:color w:val="666666"/>
        <w:sz w:val="15"/>
      </w:rPr>
      <w:fldChar w:fldCharType="begin"/>
      <w:instrText xml:space="preserve"> NUMPAGES </w:instrText>
      <w:fldChar w:fldCharType="separate"/>
      <w:t>1</w: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Protokół Rozliczenia Końcowego Robót Budowlanych</dc:title>
  <dc:subject/>
  <dc:creator>atestero.pl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pl-PL</dc:language>
</cp:coreProperties>
</file>