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PROTOKÓŁ SPRAWDZENIA STANOWISKA PRACY O NIESTAŁYM CHARAKTERZE</w:t>
      </w:r>
    </w:p>
    <w:p>
      <w:pPr>
        <w:keepNext w:val="0"/>
        <w:spacing w:before="0" w:after="160" w:line="252" w:lineRule="auto"/>
        <w:jc w:val="center"/>
      </w:pPr>
      <w:r>
        <w:rPr>
          <w:rFonts w:ascii="Arial" w:hAnsi="Arial" w:eastAsia="Arial"/>
          <w:b w:val="0"/>
          <w:i/>
          <w:color w:val="333333"/>
          <w:sz w:val="18"/>
        </w:rPr>
        <w:t>stabilność, zamocowania, zabezpieczenia przed upadkiem osób i przedmiotów (§ 52 ust. 2 rozporządzenia w sprawie BHP podczas wykonywania robót budowlanych, Dz.U. 2003 nr 47 poz. 401)</w:t>
      </w:r>
    </w:p>
    <w:p>
      <w:pPr>
        <w:keepNext/>
        <w:pBdr>
          <w:bottom w:val="single" w:sz="8" w:space="1" w:color="000000"/>
        </w:pBdr>
        <w:spacing w:before="140" w:after="60" w:line="240" w:lineRule="auto"/>
      </w:pPr>
      <w:r>
        <w:rPr>
          <w:rFonts w:ascii="Arial" w:hAnsi="Arial" w:eastAsia="Arial"/>
          <w:b/>
          <w:i w:val="0"/>
          <w:sz w:val="21"/>
        </w:rPr>
        <w:t>1.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Budowa</w:t>
            </w:r>
          </w:p>
          <w:p>
            <w:pPr>
              <w:keepNext w:val="0"/>
              <w:spacing w:before="0" w:after="0" w:line="240" w:lineRule="auto"/>
            </w:pPr>
            <w:r>
              <w:rPr>
                <w:rFonts w:ascii="Arial" w:hAnsi="Arial" w:eastAsia="Arial"/>
                <w:b w:val="0"/>
                <w:i/>
                <w:color w:val="444444"/>
                <w:sz w:val="14"/>
              </w:rPr>
              <w:t>nazwa, adres</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Firma / brygada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Rodzaj stanowiska</w:t>
            </w:r>
          </w:p>
          <w:p>
            <w:pPr>
              <w:keepNext w:val="0"/>
              <w:spacing w:before="0" w:after="0" w:line="240" w:lineRule="auto"/>
            </w:pPr>
            <w:r>
              <w:rPr>
                <w:rFonts w:ascii="Arial" w:hAnsi="Arial" w:eastAsia="Arial"/>
                <w:b w:val="0"/>
                <w:i/>
                <w:color w:val="444444"/>
                <w:sz w:val="14"/>
              </w:rPr>
              <w:t>pomost, kozły, stanowisko na deskowaniu, przy krawędzi stropu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Miejsce</w:t>
            </w:r>
          </w:p>
          <w:p>
            <w:pPr>
              <w:keepNext w:val="0"/>
              <w:spacing w:before="0" w:after="0" w:line="240" w:lineRule="auto"/>
            </w:pPr>
            <w:r>
              <w:rPr>
                <w:rFonts w:ascii="Arial" w:hAnsi="Arial" w:eastAsia="Arial"/>
                <w:b w:val="0"/>
                <w:i/>
                <w:color w:val="444444"/>
                <w:sz w:val="14"/>
              </w:rPr>
              <w:t>kondygnacja, oś, elewacja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Wysokość pracy</w:t>
            </w:r>
          </w:p>
          <w:p>
            <w:pPr>
              <w:keepNext w:val="0"/>
              <w:spacing w:before="0" w:after="0" w:line="240" w:lineRule="auto"/>
            </w:pPr>
            <w:r>
              <w:rPr>
                <w:rFonts w:ascii="Arial" w:hAnsi="Arial" w:eastAsia="Arial"/>
                <w:b w:val="0"/>
                <w:i/>
                <w:color w:val="444444"/>
                <w:sz w:val="14"/>
              </w:rPr>
              <w:t>nad podłogą lub ziemią</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Na zewnątrz budynku</w:t>
            </w:r>
          </w:p>
          <w:p>
            <w:pPr>
              <w:keepNext w:val="0"/>
              <w:spacing w:before="0" w:after="0" w:line="240" w:lineRule="auto"/>
            </w:pPr>
            <w:r>
              <w:rPr>
                <w:rFonts w:ascii="Arial" w:hAnsi="Arial" w:eastAsia="Arial"/>
                <w:b w:val="0"/>
                <w:i/>
                <w:color w:val="444444"/>
                <w:sz w:val="14"/>
              </w:rPr>
              <w:t>tak / nie</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Wykonał stanowisko</w:t>
            </w:r>
          </w:p>
          <w:p>
            <w:pPr>
              <w:keepNext w:val="0"/>
              <w:spacing w:before="0" w:after="0" w:line="240" w:lineRule="auto"/>
            </w:pPr>
            <w:r>
              <w:rPr>
                <w:rFonts w:ascii="Arial" w:hAnsi="Arial" w:eastAsia="Arial"/>
                <w:b w:val="0"/>
                <w:i/>
                <w:color w:val="444444"/>
                <w:sz w:val="14"/>
              </w:rPr>
              <w:t>imię i nazwisko, data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Dopuszczalne obciążenie pomostu</w:t>
            </w:r>
          </w:p>
          <w:p>
            <w:pPr>
              <w:keepNext w:val="0"/>
              <w:spacing w:before="0" w:after="0" w:line="240" w:lineRule="auto"/>
            </w:pPr>
            <w:r>
              <w:rPr>
                <w:rFonts w:ascii="Arial" w:hAnsi="Arial" w:eastAsia="Arial"/>
                <w:b w:val="0"/>
                <w:i/>
                <w:color w:val="444444"/>
                <w:sz w:val="14"/>
              </w:rPr>
              <w:t>osoby, materiał</w:t>
            </w:r>
          </w:p>
        </w:tc>
        <w:tc>
          <w:tcPr>
            <w:tcW w:type="dxa" w:w="2438"/>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Rusztowania i ruchome podesty robocze sprawdza się według § 127 (po silnym wietrze, opadach, przerwie ponad 10 dni, co najmniej raz w miesiącu) na osobnej karcie przeglądów rusztowania.</w:t>
      </w:r>
    </w:p>
    <w:p>
      <w:pPr>
        <w:keepNext/>
        <w:pBdr>
          <w:bottom w:val="single" w:sz="8" w:space="1" w:color="000000"/>
        </w:pBdr>
        <w:spacing w:before="140" w:after="60" w:line="240" w:lineRule="auto"/>
      </w:pPr>
      <w:r>
        <w:rPr>
          <w:rFonts w:ascii="Arial" w:hAnsi="Arial" w:eastAsia="Arial"/>
          <w:b/>
          <w:i w:val="0"/>
          <w:sz w:val="21"/>
        </w:rPr>
        <w:t>2. Lista kontrolna (§ 52 ust. 2)</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6116"/>
        <w:gridCol w:w="690"/>
        <w:gridCol w:w="887"/>
        <w:gridCol w:w="2170"/>
      </w:tblGrid>
      <w:tr>
        <w:trPr>
          <w:cantSplit/>
        </w:trPr>
        <w:tc>
          <w:tcPr>
            <w:tcW w:type="dxa" w:w="6116"/>
            <w:shd w:val="clear" w:color="auto" w:fill="EFEFEF"/>
          </w:tcPr>
          <w:p>
            <w:pPr>
              <w:keepNext w:val="0"/>
              <w:spacing w:before="0" w:after="0" w:line="240" w:lineRule="auto"/>
              <w:jc w:val="center"/>
            </w:pPr>
            <w:r>
              <w:rPr>
                <w:rFonts w:ascii="Arial" w:hAnsi="Arial" w:eastAsia="Arial"/>
                <w:b/>
                <w:i w:val="0"/>
                <w:sz w:val="16"/>
              </w:rPr>
              <w:t>Element</w:t>
            </w:r>
          </w:p>
        </w:tc>
        <w:tc>
          <w:tcPr>
            <w:tcW w:type="dxa" w:w="690"/>
            <w:shd w:val="clear" w:color="auto" w:fill="EFEFEF"/>
          </w:tcPr>
          <w:p>
            <w:pPr>
              <w:keepNext w:val="0"/>
              <w:spacing w:before="0" w:after="0" w:line="240" w:lineRule="auto"/>
              <w:jc w:val="center"/>
            </w:pPr>
            <w:r>
              <w:rPr>
                <w:rFonts w:ascii="Arial" w:hAnsi="Arial" w:eastAsia="Arial"/>
                <w:b/>
                <w:i w:val="0"/>
                <w:sz w:val="16"/>
              </w:rPr>
              <w:t>OK</w:t>
            </w:r>
          </w:p>
        </w:tc>
        <w:tc>
          <w:tcPr>
            <w:tcW w:type="dxa" w:w="887"/>
            <w:shd w:val="clear" w:color="auto" w:fill="EFEFEF"/>
          </w:tcPr>
          <w:p>
            <w:pPr>
              <w:keepNext w:val="0"/>
              <w:spacing w:before="0" w:after="0" w:line="240" w:lineRule="auto"/>
              <w:jc w:val="center"/>
            </w:pPr>
            <w:r>
              <w:rPr>
                <w:rFonts w:ascii="Arial" w:hAnsi="Arial" w:eastAsia="Arial"/>
                <w:b/>
                <w:i w:val="0"/>
                <w:sz w:val="16"/>
              </w:rPr>
              <w:t>Usterka</w:t>
            </w:r>
          </w:p>
        </w:tc>
        <w:tc>
          <w:tcPr>
            <w:tcW w:type="dxa" w:w="2170"/>
            <w:shd w:val="clear" w:color="auto" w:fill="EFEFEF"/>
          </w:tcPr>
          <w:p>
            <w:pPr>
              <w:keepNext w:val="0"/>
              <w:spacing w:before="0" w:after="0" w:line="240" w:lineRule="auto"/>
              <w:jc w:val="center"/>
            </w:pPr>
            <w:r>
              <w:rPr>
                <w:rFonts w:ascii="Arial" w:hAnsi="Arial" w:eastAsia="Arial"/>
                <w:b/>
                <w:i w:val="0"/>
                <w:sz w:val="16"/>
              </w:rPr>
              <w:t>Uwagi</w:t>
            </w:r>
          </w:p>
        </w:tc>
      </w:tr>
      <w:tr>
        <w:trPr>
          <w:trHeight w:val="481" w:hRule="atLeast"/>
          <w:cantSplit/>
        </w:trPr>
        <w:tc>
          <w:tcPr>
            <w:tcW w:type="dxa" w:w="6116"/>
          </w:tcPr>
          <w:p>
            <w:pPr>
              <w:keepNext w:val="0"/>
              <w:spacing w:before="0" w:after="0" w:line="240" w:lineRule="auto"/>
            </w:pPr>
            <w:r>
              <w:rPr>
                <w:rFonts w:ascii="Arial" w:hAnsi="Arial" w:eastAsia="Arial"/>
                <w:b w:val="0"/>
                <w:i w:val="0"/>
                <w:sz w:val="17"/>
              </w:rPr>
              <w:t>STABILNOŚĆ: podłoże nośne i równe, podpory i kozły bez przechyłów</w:t>
            </w:r>
          </w:p>
        </w:tc>
        <w:tc>
          <w:tcPr>
            <w:tcW w:type="dxa" w:w="690"/>
          </w:tcPr>
          <w:p/>
        </w:tc>
        <w:tc>
          <w:tcPr>
            <w:tcW w:type="dxa" w:w="887"/>
          </w:tcPr>
          <w:p/>
        </w:tc>
        <w:tc>
          <w:tcPr>
            <w:tcW w:type="dxa" w:w="2170"/>
          </w:tcPr>
          <w:p/>
        </w:tc>
      </w:tr>
      <w:tr>
        <w:trPr>
          <w:trHeight w:val="481" w:hRule="atLeast"/>
          <w:cantSplit/>
        </w:trPr>
        <w:tc>
          <w:tcPr>
            <w:tcW w:type="dxa" w:w="6116"/>
          </w:tcPr>
          <w:p>
            <w:pPr>
              <w:keepNext w:val="0"/>
              <w:spacing w:before="0" w:after="0" w:line="240" w:lineRule="auto"/>
            </w:pPr>
            <w:r>
              <w:rPr>
                <w:rFonts w:ascii="Arial" w:hAnsi="Arial" w:eastAsia="Arial"/>
                <w:b w:val="0"/>
                <w:i w:val="0"/>
                <w:sz w:val="17"/>
              </w:rPr>
              <w:t>STABILNOŚĆ: pomost bez ugięć, dostosowany do obciążenia (§ 135)</w:t>
            </w:r>
          </w:p>
        </w:tc>
        <w:tc>
          <w:tcPr>
            <w:tcW w:type="dxa" w:w="690"/>
          </w:tcPr>
          <w:p/>
        </w:tc>
        <w:tc>
          <w:tcPr>
            <w:tcW w:type="dxa" w:w="887"/>
          </w:tcPr>
          <w:p/>
        </w:tc>
        <w:tc>
          <w:tcPr>
            <w:tcW w:type="dxa" w:w="2170"/>
          </w:tcPr>
          <w:p/>
        </w:tc>
      </w:tr>
      <w:tr>
        <w:trPr>
          <w:trHeight w:val="481" w:hRule="atLeast"/>
          <w:cantSplit/>
        </w:trPr>
        <w:tc>
          <w:tcPr>
            <w:tcW w:type="dxa" w:w="6116"/>
          </w:tcPr>
          <w:p>
            <w:pPr>
              <w:keepNext w:val="0"/>
              <w:spacing w:before="0" w:after="0" w:line="240" w:lineRule="auto"/>
            </w:pPr>
            <w:r>
              <w:rPr>
                <w:rFonts w:ascii="Arial" w:hAnsi="Arial" w:eastAsia="Arial"/>
                <w:b w:val="0"/>
                <w:i w:val="0"/>
                <w:sz w:val="17"/>
              </w:rPr>
              <w:t>STABILNOŚĆ: swoboda ruchu potrzebna do pracy (§ 52 ust. 1)</w:t>
            </w:r>
          </w:p>
        </w:tc>
        <w:tc>
          <w:tcPr>
            <w:tcW w:type="dxa" w:w="690"/>
          </w:tcPr>
          <w:p/>
        </w:tc>
        <w:tc>
          <w:tcPr>
            <w:tcW w:type="dxa" w:w="887"/>
          </w:tcPr>
          <w:p/>
        </w:tc>
        <w:tc>
          <w:tcPr>
            <w:tcW w:type="dxa" w:w="2170"/>
          </w:tcPr>
          <w:p/>
        </w:tc>
      </w:tr>
      <w:tr>
        <w:trPr>
          <w:trHeight w:val="481" w:hRule="atLeast"/>
          <w:cantSplit/>
        </w:trPr>
        <w:tc>
          <w:tcPr>
            <w:tcW w:type="dxa" w:w="6116"/>
          </w:tcPr>
          <w:p>
            <w:pPr>
              <w:keepNext w:val="0"/>
              <w:spacing w:before="0" w:after="0" w:line="240" w:lineRule="auto"/>
            </w:pPr>
            <w:r>
              <w:rPr>
                <w:rFonts w:ascii="Arial" w:hAnsi="Arial" w:eastAsia="Arial"/>
                <w:b w:val="0"/>
                <w:i w:val="0"/>
                <w:sz w:val="17"/>
              </w:rPr>
              <w:t>ZAMOCOWANIA: łączniki i kotwy kompletne, dokręcone</w:t>
            </w:r>
          </w:p>
        </w:tc>
        <w:tc>
          <w:tcPr>
            <w:tcW w:type="dxa" w:w="690"/>
          </w:tcPr>
          <w:p/>
        </w:tc>
        <w:tc>
          <w:tcPr>
            <w:tcW w:type="dxa" w:w="887"/>
          </w:tcPr>
          <w:p/>
        </w:tc>
        <w:tc>
          <w:tcPr>
            <w:tcW w:type="dxa" w:w="2170"/>
          </w:tcPr>
          <w:p/>
        </w:tc>
      </w:tr>
      <w:tr>
        <w:trPr>
          <w:trHeight w:val="481" w:hRule="atLeast"/>
          <w:cantSplit/>
        </w:trPr>
        <w:tc>
          <w:tcPr>
            <w:tcW w:type="dxa" w:w="6116"/>
          </w:tcPr>
          <w:p>
            <w:pPr>
              <w:keepNext w:val="0"/>
              <w:spacing w:before="0" w:after="0" w:line="240" w:lineRule="auto"/>
            </w:pPr>
            <w:r>
              <w:rPr>
                <w:rFonts w:ascii="Arial" w:hAnsi="Arial" w:eastAsia="Arial"/>
                <w:b w:val="0"/>
                <w:i w:val="0"/>
                <w:sz w:val="17"/>
              </w:rPr>
              <w:t>ZAMOCOWANIA: pomost szczelny, zabezpieczony przed zmianą położenia (§ 135)</w:t>
            </w:r>
          </w:p>
        </w:tc>
        <w:tc>
          <w:tcPr>
            <w:tcW w:type="dxa" w:w="690"/>
          </w:tcPr>
          <w:p/>
        </w:tc>
        <w:tc>
          <w:tcPr>
            <w:tcW w:type="dxa" w:w="887"/>
          </w:tcPr>
          <w:p/>
        </w:tc>
        <w:tc>
          <w:tcPr>
            <w:tcW w:type="dxa" w:w="2170"/>
          </w:tcPr>
          <w:p/>
        </w:tc>
      </w:tr>
      <w:tr>
        <w:trPr>
          <w:trHeight w:val="481" w:hRule="atLeast"/>
          <w:cantSplit/>
        </w:trPr>
        <w:tc>
          <w:tcPr>
            <w:tcW w:type="dxa" w:w="6116"/>
          </w:tcPr>
          <w:p>
            <w:pPr>
              <w:keepNext w:val="0"/>
              <w:spacing w:before="0" w:after="0" w:line="240" w:lineRule="auto"/>
            </w:pPr>
            <w:r>
              <w:rPr>
                <w:rFonts w:ascii="Arial" w:hAnsi="Arial" w:eastAsia="Arial"/>
                <w:b w:val="0"/>
                <w:i w:val="0"/>
                <w:sz w:val="17"/>
              </w:rPr>
              <w:t>UPADEK OSÓB: balustrada, poręcz 1,1 m, deska 0,15 m, wypełnienie (§ 15 ust. 2, § 133)</w:t>
            </w:r>
          </w:p>
        </w:tc>
        <w:tc>
          <w:tcPr>
            <w:tcW w:type="dxa" w:w="690"/>
          </w:tcPr>
          <w:p/>
        </w:tc>
        <w:tc>
          <w:tcPr>
            <w:tcW w:type="dxa" w:w="887"/>
          </w:tcPr>
          <w:p/>
        </w:tc>
        <w:tc>
          <w:tcPr>
            <w:tcW w:type="dxa" w:w="2170"/>
          </w:tcPr>
          <w:p/>
        </w:tc>
      </w:tr>
      <w:tr>
        <w:trPr>
          <w:trHeight w:val="481" w:hRule="atLeast"/>
          <w:cantSplit/>
        </w:trPr>
        <w:tc>
          <w:tcPr>
            <w:tcW w:type="dxa" w:w="6116"/>
          </w:tcPr>
          <w:p>
            <w:pPr>
              <w:keepNext w:val="0"/>
              <w:spacing w:before="0" w:after="0" w:line="240" w:lineRule="auto"/>
            </w:pPr>
            <w:r>
              <w:rPr>
                <w:rFonts w:ascii="Arial" w:hAnsi="Arial" w:eastAsia="Arial"/>
                <w:b w:val="0"/>
                <w:i w:val="0"/>
                <w:sz w:val="17"/>
              </w:rPr>
              <w:t>UPADEK OSÓB: przejścia i dojścia zabezpieczone (§ 133 ust. 2)</w:t>
            </w:r>
          </w:p>
        </w:tc>
        <w:tc>
          <w:tcPr>
            <w:tcW w:type="dxa" w:w="690"/>
          </w:tcPr>
          <w:p/>
        </w:tc>
        <w:tc>
          <w:tcPr>
            <w:tcW w:type="dxa" w:w="887"/>
          </w:tcPr>
          <w:p/>
        </w:tc>
        <w:tc>
          <w:tcPr>
            <w:tcW w:type="dxa" w:w="2170"/>
          </w:tcPr>
          <w:p/>
        </w:tc>
      </w:tr>
      <w:tr>
        <w:trPr>
          <w:trHeight w:val="481" w:hRule="atLeast"/>
          <w:cantSplit/>
        </w:trPr>
        <w:tc>
          <w:tcPr>
            <w:tcW w:type="dxa" w:w="6116"/>
          </w:tcPr>
          <w:p>
            <w:pPr>
              <w:keepNext w:val="0"/>
              <w:spacing w:before="0" w:after="0" w:line="240" w:lineRule="auto"/>
            </w:pPr>
            <w:r>
              <w:rPr>
                <w:rFonts w:ascii="Arial" w:hAnsi="Arial" w:eastAsia="Arial"/>
                <w:b w:val="0"/>
                <w:i w:val="0"/>
                <w:sz w:val="17"/>
              </w:rPr>
              <w:t>UPADEK OSÓB: otwory w stropie zakryte lub ogrodzone (§ 134); siatki (§ 6 ust. 1)</w:t>
            </w:r>
          </w:p>
        </w:tc>
        <w:tc>
          <w:tcPr>
            <w:tcW w:type="dxa" w:w="690"/>
          </w:tcPr>
          <w:p/>
        </w:tc>
        <w:tc>
          <w:tcPr>
            <w:tcW w:type="dxa" w:w="887"/>
          </w:tcPr>
          <w:p/>
        </w:tc>
        <w:tc>
          <w:tcPr>
            <w:tcW w:type="dxa" w:w="2170"/>
          </w:tcPr>
          <w:p/>
        </w:tc>
      </w:tr>
      <w:tr>
        <w:trPr>
          <w:trHeight w:val="481" w:hRule="atLeast"/>
          <w:cantSplit/>
        </w:trPr>
        <w:tc>
          <w:tcPr>
            <w:tcW w:type="dxa" w:w="6116"/>
          </w:tcPr>
          <w:p>
            <w:pPr>
              <w:keepNext w:val="0"/>
              <w:spacing w:before="0" w:after="0" w:line="240" w:lineRule="auto"/>
            </w:pPr>
            <w:r>
              <w:rPr>
                <w:rFonts w:ascii="Arial" w:hAnsi="Arial" w:eastAsia="Arial"/>
                <w:b w:val="0"/>
                <w:i w:val="0"/>
                <w:sz w:val="17"/>
              </w:rPr>
              <w:t>UPADEK PRZEDMIOTÓW: deski krawężnikowe, porządek i materiał na pomoście</w:t>
            </w:r>
          </w:p>
        </w:tc>
        <w:tc>
          <w:tcPr>
            <w:tcW w:type="dxa" w:w="690"/>
          </w:tcPr>
          <w:p/>
        </w:tc>
        <w:tc>
          <w:tcPr>
            <w:tcW w:type="dxa" w:w="887"/>
          </w:tcPr>
          <w:p/>
        </w:tc>
        <w:tc>
          <w:tcPr>
            <w:tcW w:type="dxa" w:w="2170"/>
          </w:tcPr>
          <w:p/>
        </w:tc>
      </w:tr>
      <w:tr>
        <w:trPr>
          <w:trHeight w:val="481" w:hRule="atLeast"/>
          <w:cantSplit/>
        </w:trPr>
        <w:tc>
          <w:tcPr>
            <w:tcW w:type="dxa" w:w="6116"/>
          </w:tcPr>
          <w:p>
            <w:pPr>
              <w:keepNext w:val="0"/>
              <w:spacing w:before="0" w:after="0" w:line="240" w:lineRule="auto"/>
            </w:pPr>
            <w:r>
              <w:rPr>
                <w:rFonts w:ascii="Arial" w:hAnsi="Arial" w:eastAsia="Arial"/>
                <w:b w:val="0"/>
                <w:i w:val="0"/>
                <w:sz w:val="17"/>
              </w:rPr>
              <w:t>UPADEK PRZEDMIOTÓW: strefa pod stanowiskiem wygrodzona lub osłonięta</w:t>
            </w:r>
          </w:p>
        </w:tc>
        <w:tc>
          <w:tcPr>
            <w:tcW w:type="dxa" w:w="690"/>
          </w:tcPr>
          <w:p/>
        </w:tc>
        <w:tc>
          <w:tcPr>
            <w:tcW w:type="dxa" w:w="887"/>
          </w:tcPr>
          <w:p/>
        </w:tc>
        <w:tc>
          <w:tcPr>
            <w:tcW w:type="dxa" w:w="2170"/>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Sprawdzenia (§ 52 ust. 2)</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1183"/>
        <w:gridCol w:w="1282"/>
        <w:gridCol w:w="3058"/>
        <w:gridCol w:w="1381"/>
        <w:gridCol w:w="1973"/>
        <w:gridCol w:w="986"/>
      </w:tblGrid>
      <w:tr>
        <w:trPr>
          <w:cantSplit/>
        </w:trPr>
        <w:tc>
          <w:tcPr>
            <w:tcW w:type="dxa" w:w="1183"/>
            <w:shd w:val="clear" w:color="auto" w:fill="EFEFEF"/>
          </w:tcPr>
          <w:p>
            <w:pPr>
              <w:keepNext w:val="0"/>
              <w:spacing w:before="0" w:after="0" w:line="240" w:lineRule="auto"/>
              <w:jc w:val="center"/>
            </w:pPr>
            <w:r>
              <w:rPr>
                <w:rFonts w:ascii="Arial" w:hAnsi="Arial" w:eastAsia="Arial"/>
                <w:b/>
                <w:i w:val="0"/>
                <w:sz w:val="16"/>
              </w:rPr>
              <w:t>Data, godz.</w:t>
            </w:r>
          </w:p>
        </w:tc>
        <w:tc>
          <w:tcPr>
            <w:tcW w:type="dxa" w:w="1282"/>
            <w:shd w:val="clear" w:color="auto" w:fill="EFEFEF"/>
          </w:tcPr>
          <w:p>
            <w:pPr>
              <w:keepNext w:val="0"/>
              <w:spacing w:before="0" w:after="0" w:line="240" w:lineRule="auto"/>
              <w:jc w:val="center"/>
            </w:pPr>
            <w:r>
              <w:rPr>
                <w:rFonts w:ascii="Arial" w:hAnsi="Arial" w:eastAsia="Arial"/>
                <w:b/>
                <w:i w:val="0"/>
                <w:sz w:val="16"/>
              </w:rPr>
              <w:t>Powód (Z, P, W, S, O, I)</w:t>
            </w:r>
          </w:p>
        </w:tc>
        <w:tc>
          <w:tcPr>
            <w:tcW w:type="dxa" w:w="3058"/>
            <w:shd w:val="clear" w:color="auto" w:fill="EFEFEF"/>
          </w:tcPr>
          <w:p>
            <w:pPr>
              <w:keepNext w:val="0"/>
              <w:spacing w:before="0" w:after="0" w:line="240" w:lineRule="auto"/>
              <w:jc w:val="center"/>
            </w:pPr>
            <w:r>
              <w:rPr>
                <w:rFonts w:ascii="Arial" w:hAnsi="Arial" w:eastAsia="Arial"/>
                <w:b/>
                <w:i w:val="0"/>
                <w:sz w:val="16"/>
              </w:rPr>
              <w:t>Wynik / usterki</w:t>
            </w:r>
          </w:p>
        </w:tc>
        <w:tc>
          <w:tcPr>
            <w:tcW w:type="dxa" w:w="1381"/>
            <w:shd w:val="clear" w:color="auto" w:fill="EFEFEF"/>
          </w:tcPr>
          <w:p>
            <w:pPr>
              <w:keepNext w:val="0"/>
              <w:spacing w:before="0" w:after="0" w:line="240" w:lineRule="auto"/>
              <w:jc w:val="center"/>
            </w:pPr>
            <w:r>
              <w:rPr>
                <w:rFonts w:ascii="Arial" w:hAnsi="Arial" w:eastAsia="Arial"/>
                <w:b/>
                <w:i w:val="0"/>
                <w:sz w:val="16"/>
              </w:rPr>
              <w:t>Decyzja</w:t>
            </w:r>
          </w:p>
        </w:tc>
        <w:tc>
          <w:tcPr>
            <w:tcW w:type="dxa" w:w="1973"/>
            <w:shd w:val="clear" w:color="auto" w:fill="EFEFEF"/>
          </w:tcPr>
          <w:p>
            <w:pPr>
              <w:keepNext w:val="0"/>
              <w:spacing w:before="0" w:after="0" w:line="240" w:lineRule="auto"/>
              <w:jc w:val="center"/>
            </w:pPr>
            <w:r>
              <w:rPr>
                <w:rFonts w:ascii="Arial" w:hAnsi="Arial" w:eastAsia="Arial"/>
                <w:b/>
                <w:i w:val="0"/>
                <w:sz w:val="16"/>
              </w:rPr>
              <w:t>Sprawdzający: imię, nazwisko, funkcja</w:t>
            </w:r>
          </w:p>
        </w:tc>
        <w:tc>
          <w:tcPr>
            <w:tcW w:type="dxa" w:w="986"/>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r>
        <w:trPr>
          <w:trHeight w:val="481" w:hRule="atLeast"/>
          <w:cantSplit/>
        </w:trPr>
        <w:tc>
          <w:tcPr>
            <w:tcW w:type="dxa" w:w="1183"/>
          </w:tcPr>
          <w:p/>
        </w:tc>
        <w:tc>
          <w:tcPr>
            <w:tcW w:type="dxa" w:w="1282"/>
          </w:tcPr>
          <w:p/>
        </w:tc>
        <w:tc>
          <w:tcPr>
            <w:tcW w:type="dxa" w:w="3058"/>
          </w:tcPr>
          <w:p/>
        </w:tc>
        <w:tc>
          <w:tcPr>
            <w:tcW w:type="dxa" w:w="1381"/>
          </w:tcPr>
          <w:p/>
        </w:tc>
        <w:tc>
          <w:tcPr>
            <w:tcW w:type="dxa" w:w="1973"/>
          </w:tcPr>
          <w:p/>
        </w:tc>
        <w:tc>
          <w:tcPr>
            <w:tcW w:type="dxa" w:w="986"/>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Powód: Z zmiana usytuowania stanowiska, P przerwa w pracy dłuższa niż 7 dni, W silny wiatr, S opady śniegu, O oblodzenie (W, S, O dla stanowisk na zewnątrz budynku), I inne (np. uderzenie ładunkiem, przeróbka). Decyzja: dopuszczone, dopuszczone po usunięciu usterki, wyłączone z pracy.</w:t>
      </w:r>
    </w:p>
    <w:p>
      <w:pPr>
        <w:keepNext w:val="0"/>
        <w:spacing w:before="80" w:after="40" w:line="269" w:lineRule="auto"/>
        <w:jc w:val="both"/>
      </w:pPr>
      <w:r>
        <w:rPr>
          <w:rFonts w:ascii="Arial" w:hAnsi="Arial" w:eastAsia="Arial"/>
          <w:b w:val="0"/>
          <w:i w:val="0"/>
          <w:color w:val="333333"/>
          <w:sz w:val="15"/>
        </w:rPr>
        <w:t>Stanowiska pracy o niestałym charakterze należy poddawać sprawdzeniu pod względem ich stabilności, zamocowań oraz zabezpieczeń przed upadkiem osób i przedmiotów. Sprawdzenia należy dokonać po każdej zmianie usytuowania, po każdej przerwie w pracy trwającej dłużej niż 7 dni, a dla stanowisk usytuowanych na zewnątrz budynku po silnym wietrze, opadach śniegu lub oblodzeniu (§ 52 ust. 2). Bezpośredni nadzór nad BHP na stanowiskach pracy sprawują kierownik robót oraz mistrz budowlany (§ 5); osoba kierująca pracownikami organizuje stanowiska pracy zgodnie z przepisami i zasadami BHP (art. 212 pkt 1 KP).</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Protokół Sprawdzenia Stanowiska Pracy O Niestałym Charakterze</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