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TARYFIKATOR KAR UMOWNYCH ZA NARUSZENIA BHP</w:t>
      </w:r>
    </w:p>
    <w:p>
      <w:pPr>
        <w:keepNext w:val="0"/>
        <w:spacing w:before="0" w:after="160" w:line="252" w:lineRule="auto"/>
        <w:jc w:val="center"/>
      </w:pPr>
      <w:r>
        <w:rPr>
          <w:rFonts w:ascii="Arial" w:hAnsi="Arial" w:eastAsia="Arial"/>
          <w:b w:val="0"/>
          <w:i/>
          <w:color w:val="333333"/>
          <w:sz w:val="18"/>
        </w:rPr>
        <w:t>załącznik do umowy z podwykonawcą (art. 483 i 484 Kodeksu cywilnego)</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Załącznik nr</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Miejscowość i data</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1. Strony i umowa</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Generalny wykonawca</w:t>
            </w:r>
          </w:p>
          <w:p>
            <w:pPr>
              <w:keepNext w:val="0"/>
              <w:spacing w:before="0" w:after="0" w:line="240" w:lineRule="auto"/>
            </w:pPr>
            <w:r>
              <w:rPr>
                <w:rFonts w:ascii="Arial" w:hAnsi="Arial" w:eastAsia="Arial"/>
                <w:b w:val="0"/>
                <w:i/>
                <w:color w:val="444444"/>
                <w:sz w:val="14"/>
              </w:rPr>
              <w:t>nazwa, adres, NIP</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Podwykonawca</w:t>
            </w:r>
          </w:p>
          <w:p>
            <w:pPr>
              <w:keepNext w:val="0"/>
              <w:spacing w:before="0" w:after="0" w:line="240" w:lineRule="auto"/>
            </w:pPr>
            <w:r>
              <w:rPr>
                <w:rFonts w:ascii="Arial" w:hAnsi="Arial" w:eastAsia="Arial"/>
                <w:b w:val="0"/>
                <w:i/>
                <w:color w:val="444444"/>
                <w:sz w:val="14"/>
              </w:rPr>
              <w:t>nazwa, adres, NIP</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Umowa nr</w:t>
            </w:r>
          </w:p>
          <w:p>
            <w:pPr>
              <w:keepNext w:val="0"/>
              <w:spacing w:before="0" w:after="0" w:line="240" w:lineRule="auto"/>
            </w:pPr>
            <w:r>
              <w:rPr>
                <w:rFonts w:ascii="Arial" w:hAnsi="Arial" w:eastAsia="Arial"/>
                <w:b w:val="0"/>
                <w:i/>
                <w:color w:val="444444"/>
                <w:sz w:val="14"/>
              </w:rPr>
              <w:t>numer i data zawarcia</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Budowa</w:t>
            </w:r>
          </w:p>
          <w:p>
            <w:pPr>
              <w:keepNext w:val="0"/>
              <w:spacing w:before="0" w:after="0" w:line="240" w:lineRule="auto"/>
            </w:pPr>
            <w:r>
              <w:rPr>
                <w:rFonts w:ascii="Arial" w:hAnsi="Arial" w:eastAsia="Arial"/>
                <w:b w:val="0"/>
                <w:i/>
                <w:color w:val="444444"/>
                <w:sz w:val="14"/>
              </w:rPr>
              <w:t>nazwa i adres</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Paragraf umowy, który odsyła do taryfikatora</w:t>
            </w:r>
          </w:p>
          <w:p>
            <w:pPr>
              <w:keepNext w:val="0"/>
              <w:spacing w:before="0" w:after="0" w:line="240" w:lineRule="auto"/>
            </w:pPr>
            <w:r>
              <w:rPr>
                <w:rFonts w:ascii="Arial" w:hAnsi="Arial" w:eastAsia="Arial"/>
                <w:b w:val="0"/>
                <w:i/>
                <w:color w:val="444444"/>
                <w:sz w:val="14"/>
              </w:rPr>
              <w:t>§, ustęp</w:t>
            </w:r>
          </w:p>
        </w:tc>
        <w:tc>
          <w:tcPr>
            <w:tcW w:type="dxa" w:w="7371"/>
            <w:gridSpan w:val="3"/>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2. Zasady naliczania kar</w:t>
      </w:r>
    </w:p>
    <w:p>
      <w:pPr>
        <w:keepNext w:val="0"/>
        <w:spacing w:before="80" w:after="40" w:line="269" w:lineRule="auto"/>
      </w:pPr>
      <w:r>
        <w:rPr>
          <w:rFonts w:ascii="Arial" w:hAnsi="Arial" w:eastAsia="Arial"/>
          <w:b w:val="0"/>
          <w:i w:val="0"/>
          <w:sz w:val="19"/>
        </w:rPr>
        <w:t>Taryfikator jest częścią umowy. Kary dotyczą niewykonania lub nienależytego wykonania zobowiązań niepieniężnych: przestrzegania przepisów i zasad BHP, regulaminu budowy oraz poleceń usunięcia uchybień.</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Karę nalicza się za naruszenie stwierdzone w protokole, który generalny wykonawca doręcza podwykonawcy w ciągu ...... dni od stwierdzenia. Podwykonawca może zgłosić zastrzeżenia w ciągu ...... dni od doręczenia.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Podwykonawca odpowiada za naruszenia swoich pracowników, osób, którym powierzył wykonanie robót, i dalszych podwykonawców jak za własne działanie lub zaniechanie (art. 474 KC).</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Kara należy się w wysokości z tabeli bez względu na wysokość szkody (art. 484 § 1 KC). Zapłata kary nie zwalnia podwykonawcy z obowiązku przestrzegania BHP bez zgody generalnego wykonawcy (art. 483 § 2 KC).</w:t>
      </w:r>
    </w:p>
    <w:p>
      <w:pPr>
        <w:keepNext w:val="0"/>
        <w:spacing w:before="80" w:after="40" w:line="269" w:lineRule="auto"/>
      </w:pPr>
      <w:r>
        <w:rPr>
          <w:rFonts w:ascii="Arial" w:hAnsi="Arial" w:eastAsia="Arial"/>
          <w:b w:val="0"/>
          <w:i w:val="0"/>
          <w:sz w:val="19"/>
        </w:rPr>
        <w:t>Odszkodowanie ponad karę (zaznacz jedno):</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strony wyłączają żądanie odszkodowania przenoszącego wysokość kary (art. 484 § 1 zdanie drugie KC)</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strony dopuszczają odszkodowanie za szkodę przekraczającą karę, do wysokości szkody (art. 484 § 1 zdanie drugie KC: chyba że strony inaczej postanowiły)</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Limit łącznej kwoty kar</w:t>
            </w:r>
          </w:p>
          <w:p>
            <w:pPr>
              <w:keepNext w:val="0"/>
              <w:spacing w:before="0" w:after="0" w:line="240" w:lineRule="auto"/>
            </w:pPr>
            <w:r>
              <w:rPr>
                <w:rFonts w:ascii="Arial" w:hAnsi="Arial" w:eastAsia="Arial"/>
                <w:b w:val="0"/>
                <w:i/>
                <w:color w:val="444444"/>
                <w:sz w:val="14"/>
              </w:rPr>
              <w:t>% wynagrodzenia netto albo kwota</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Termin zapłaty kary</w:t>
            </w:r>
          </w:p>
          <w:p>
            <w:pPr>
              <w:keepNext w:val="0"/>
              <w:spacing w:before="0" w:after="0" w:line="240" w:lineRule="auto"/>
            </w:pPr>
            <w:r>
              <w:rPr>
                <w:rFonts w:ascii="Arial" w:hAnsi="Arial" w:eastAsia="Arial"/>
                <w:b w:val="0"/>
                <w:i/>
                <w:color w:val="444444"/>
                <w:sz w:val="14"/>
              </w:rPr>
              <w:t>dni od doręczenia noty obciążeniowej</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Sposób rozliczenia</w:t>
            </w:r>
          </w:p>
          <w:p>
            <w:pPr>
              <w:keepNext w:val="0"/>
              <w:spacing w:before="0" w:after="0" w:line="240" w:lineRule="auto"/>
            </w:pPr>
            <w:r>
              <w:rPr>
                <w:rFonts w:ascii="Arial" w:hAnsi="Arial" w:eastAsia="Arial"/>
                <w:b w:val="0"/>
                <w:i/>
                <w:color w:val="444444"/>
                <w:sz w:val="14"/>
              </w:rPr>
              <w:t>zapłata na rachunek / potrącenie z faktury na podstawie oświadczenia o potrąceniu</w:t>
            </w:r>
          </w:p>
        </w:tc>
        <w:tc>
          <w:tcPr>
            <w:tcW w:type="dxa" w:w="7371"/>
            <w:gridSpan w:val="3"/>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3. Tryb naliczenia i zapłaty</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protokół stwierdzenia naruszenia BHP podpisuje przedstawiciel generalnego wykonawcy, a podwykonawca dostaje jego kopię</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nota obciążeniowa z numerem punktu taryfikatora i wyliczeniem trafia do podwykonawcy w ciągu ...... dni od doręczenia protokołu</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potrącenie kary z faktury następuje przez oświadczenie złożone podwykonawcy, gdy obie wierzytelności są wymagalne (art. 498 § 1 i art. 499 KC)</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za to samo naruszenie karę nalicza się jeden raz</w:t>
      </w:r>
    </w:p>
    <w:p>
      <w:pPr>
        <w:keepNext w:val="0"/>
        <w:spacing w:before="80" w:after="40" w:line="269" w:lineRule="auto"/>
        <w:jc w:val="both"/>
      </w:pPr>
      <w:r>
        <w:rPr>
          <w:rFonts w:ascii="Arial" w:hAnsi="Arial" w:eastAsia="Arial"/>
          <w:b w:val="0"/>
          <w:i w:val="0"/>
          <w:color w:val="333333"/>
          <w:sz w:val="15"/>
        </w:rPr>
        <w:t>Taryfikator obciąża podwykonawcę jako stronę umowy. Nie przewiduje kar dla pracowników podwykonawcy. Kary porządkowe z art. 108 KP stosuje pracodawca wobec swoich pracowników.</w:t>
      </w: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4. Wysokość kar za poszczególne naruszenia</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524"/>
        <w:gridCol w:w="1183"/>
        <w:gridCol w:w="1775"/>
        <w:gridCol w:w="1381"/>
      </w:tblGrid>
      <w:tr>
        <w:trPr>
          <w:cantSplit/>
        </w:trPr>
        <w:tc>
          <w:tcPr>
            <w:tcW w:type="dxa" w:w="5524"/>
            <w:shd w:val="clear" w:color="auto" w:fill="EFEFEF"/>
          </w:tcPr>
          <w:p>
            <w:pPr>
              <w:keepNext w:val="0"/>
              <w:spacing w:before="0" w:after="0" w:line="240" w:lineRule="auto"/>
              <w:jc w:val="center"/>
            </w:pPr>
            <w:r>
              <w:rPr>
                <w:rFonts w:ascii="Arial" w:hAnsi="Arial" w:eastAsia="Arial"/>
                <w:b/>
                <w:i w:val="0"/>
                <w:sz w:val="16"/>
              </w:rPr>
              <w:t>Naruszenie (podstawa)</w:t>
            </w:r>
          </w:p>
        </w:tc>
        <w:tc>
          <w:tcPr>
            <w:tcW w:type="dxa" w:w="1183"/>
            <w:shd w:val="clear" w:color="auto" w:fill="EFEFEF"/>
          </w:tcPr>
          <w:p>
            <w:pPr>
              <w:keepNext w:val="0"/>
              <w:spacing w:before="0" w:after="0" w:line="240" w:lineRule="auto"/>
              <w:jc w:val="center"/>
            </w:pPr>
            <w:r>
              <w:rPr>
                <w:rFonts w:ascii="Arial" w:hAnsi="Arial" w:eastAsia="Arial"/>
                <w:b/>
                <w:i w:val="0"/>
                <w:sz w:val="16"/>
              </w:rPr>
              <w:t>Kara zł</w:t>
            </w:r>
          </w:p>
        </w:tc>
        <w:tc>
          <w:tcPr>
            <w:tcW w:type="dxa" w:w="1775"/>
            <w:shd w:val="clear" w:color="auto" w:fill="EFEFEF"/>
          </w:tcPr>
          <w:p>
            <w:pPr>
              <w:keepNext w:val="0"/>
              <w:spacing w:before="0" w:after="0" w:line="240" w:lineRule="auto"/>
              <w:jc w:val="center"/>
            </w:pPr>
            <w:r>
              <w:rPr>
                <w:rFonts w:ascii="Arial" w:hAnsi="Arial" w:eastAsia="Arial"/>
                <w:b/>
                <w:i w:val="0"/>
                <w:sz w:val="16"/>
              </w:rPr>
              <w:t>Za osobę / zdarzenie / dzień</w:t>
            </w:r>
          </w:p>
        </w:tc>
        <w:tc>
          <w:tcPr>
            <w:tcW w:type="dxa" w:w="1381"/>
            <w:shd w:val="clear" w:color="auto" w:fill="EFEFEF"/>
          </w:tcPr>
          <w:p>
            <w:pPr>
              <w:keepNext w:val="0"/>
              <w:spacing w:before="0" w:after="0" w:line="240" w:lineRule="auto"/>
              <w:jc w:val="center"/>
            </w:pPr>
            <w:r>
              <w:rPr>
                <w:rFonts w:ascii="Arial" w:hAnsi="Arial" w:eastAsia="Arial"/>
                <w:b/>
                <w:i w:val="0"/>
                <w:sz w:val="16"/>
              </w:rPr>
              <w:t>Uwagi</w:t>
            </w:r>
          </w:p>
        </w:tc>
      </w:tr>
      <w:tr>
        <w:trPr>
          <w:trHeight w:val="481" w:hRule="atLeast"/>
          <w:cantSplit/>
        </w:trPr>
        <w:tc>
          <w:tcPr>
            <w:tcW w:type="dxa" w:w="5524"/>
          </w:tcPr>
          <w:p>
            <w:pPr>
              <w:keepNext w:val="0"/>
              <w:spacing w:before="0" w:after="0" w:line="240" w:lineRule="auto"/>
            </w:pPr>
            <w:r>
              <w:rPr>
                <w:rFonts w:ascii="Arial" w:hAnsi="Arial" w:eastAsia="Arial"/>
                <w:b w:val="0"/>
                <w:i w:val="0"/>
                <w:sz w:val="17"/>
              </w:rPr>
              <w:t>1. Dopuszczenie do pracy osoby bez aktualnego orzeczenia lekarskiego (art. 229 § 4 KP)</w:t>
            </w:r>
          </w:p>
        </w:tc>
        <w:tc>
          <w:tcPr>
            <w:tcW w:type="dxa" w:w="1183"/>
          </w:tcPr>
          <w:p/>
        </w:tc>
        <w:tc>
          <w:tcPr>
            <w:tcW w:type="dxa" w:w="1775"/>
          </w:tcPr>
          <w:p/>
        </w:tc>
        <w:tc>
          <w:tcPr>
            <w:tcW w:type="dxa" w:w="1381"/>
          </w:tcPr>
          <w:p/>
        </w:tc>
      </w:tr>
      <w:tr>
        <w:trPr>
          <w:trHeight w:val="481" w:hRule="atLeast"/>
          <w:cantSplit/>
        </w:trPr>
        <w:tc>
          <w:tcPr>
            <w:tcW w:type="dxa" w:w="5524"/>
          </w:tcPr>
          <w:p>
            <w:pPr>
              <w:keepNext w:val="0"/>
              <w:spacing w:before="0" w:after="0" w:line="240" w:lineRule="auto"/>
            </w:pPr>
            <w:r>
              <w:rPr>
                <w:rFonts w:ascii="Arial" w:hAnsi="Arial" w:eastAsia="Arial"/>
                <w:b w:val="0"/>
                <w:i w:val="0"/>
                <w:sz w:val="17"/>
              </w:rPr>
              <w:t>2. Dopuszczenie do pracy osoby bez szkolenia BHP przed dopuszczeniem albo po terminie szkolenia okresowego (art. 237³ § 2 KP)</w:t>
            </w:r>
          </w:p>
        </w:tc>
        <w:tc>
          <w:tcPr>
            <w:tcW w:type="dxa" w:w="1183"/>
          </w:tcPr>
          <w:p/>
        </w:tc>
        <w:tc>
          <w:tcPr>
            <w:tcW w:type="dxa" w:w="1775"/>
          </w:tcPr>
          <w:p/>
        </w:tc>
        <w:tc>
          <w:tcPr>
            <w:tcW w:type="dxa" w:w="1381"/>
          </w:tcPr>
          <w:p/>
        </w:tc>
      </w:tr>
      <w:tr>
        <w:trPr>
          <w:trHeight w:val="481" w:hRule="atLeast"/>
          <w:cantSplit/>
        </w:trPr>
        <w:tc>
          <w:tcPr>
            <w:tcW w:type="dxa" w:w="5524"/>
          </w:tcPr>
          <w:p>
            <w:pPr>
              <w:keepNext w:val="0"/>
              <w:spacing w:before="0" w:after="0" w:line="240" w:lineRule="auto"/>
            </w:pPr>
            <w:r>
              <w:rPr>
                <w:rFonts w:ascii="Arial" w:hAnsi="Arial" w:eastAsia="Arial"/>
                <w:b w:val="0"/>
                <w:i w:val="0"/>
                <w:sz w:val="17"/>
              </w:rPr>
              <w:t>3. Praca bez wymaganych kwalifikacji lub uprawnień (art. 237³ § 1 KP)</w:t>
            </w:r>
          </w:p>
        </w:tc>
        <w:tc>
          <w:tcPr>
            <w:tcW w:type="dxa" w:w="1183"/>
          </w:tcPr>
          <w:p/>
        </w:tc>
        <w:tc>
          <w:tcPr>
            <w:tcW w:type="dxa" w:w="1775"/>
          </w:tcPr>
          <w:p/>
        </w:tc>
        <w:tc>
          <w:tcPr>
            <w:tcW w:type="dxa" w:w="1381"/>
          </w:tcPr>
          <w:p/>
        </w:tc>
      </w:tr>
      <w:tr>
        <w:trPr>
          <w:trHeight w:val="481" w:hRule="atLeast"/>
          <w:cantSplit/>
        </w:trPr>
        <w:tc>
          <w:tcPr>
            <w:tcW w:type="dxa" w:w="5524"/>
          </w:tcPr>
          <w:p>
            <w:pPr>
              <w:keepNext w:val="0"/>
              <w:spacing w:before="0" w:after="0" w:line="240" w:lineRule="auto"/>
            </w:pPr>
            <w:r>
              <w:rPr>
                <w:rFonts w:ascii="Arial" w:hAnsi="Arial" w:eastAsia="Arial"/>
                <w:b w:val="0"/>
                <w:i w:val="0"/>
                <w:sz w:val="17"/>
              </w:rPr>
              <w:t>4. Brak lub niestosowanie środków ochrony indywidualnej (art. 211 pkt 4 KP; § 4 ust. 2 rozp. z 6.02.2003)</w:t>
            </w:r>
          </w:p>
        </w:tc>
        <w:tc>
          <w:tcPr>
            <w:tcW w:type="dxa" w:w="1183"/>
          </w:tcPr>
          <w:p/>
        </w:tc>
        <w:tc>
          <w:tcPr>
            <w:tcW w:type="dxa" w:w="1775"/>
          </w:tcPr>
          <w:p/>
        </w:tc>
        <w:tc>
          <w:tcPr>
            <w:tcW w:type="dxa" w:w="1381"/>
          </w:tcPr>
          <w:p/>
        </w:tc>
      </w:tr>
      <w:tr>
        <w:trPr>
          <w:trHeight w:val="481" w:hRule="atLeast"/>
          <w:cantSplit/>
        </w:trPr>
        <w:tc>
          <w:tcPr>
            <w:tcW w:type="dxa" w:w="5524"/>
          </w:tcPr>
          <w:p>
            <w:pPr>
              <w:keepNext w:val="0"/>
              <w:spacing w:before="0" w:after="0" w:line="240" w:lineRule="auto"/>
            </w:pPr>
            <w:r>
              <w:rPr>
                <w:rFonts w:ascii="Arial" w:hAnsi="Arial" w:eastAsia="Arial"/>
                <w:b w:val="0"/>
                <w:i w:val="0"/>
                <w:sz w:val="17"/>
              </w:rPr>
              <w:t>5. Brak środków ochrony zbiorowej przy pracy na wysokości (§ 6 ust. 1 rozp. z 6.02.2003)</w:t>
            </w:r>
          </w:p>
        </w:tc>
        <w:tc>
          <w:tcPr>
            <w:tcW w:type="dxa" w:w="1183"/>
          </w:tcPr>
          <w:p/>
        </w:tc>
        <w:tc>
          <w:tcPr>
            <w:tcW w:type="dxa" w:w="1775"/>
          </w:tcPr>
          <w:p/>
        </w:tc>
        <w:tc>
          <w:tcPr>
            <w:tcW w:type="dxa" w:w="1381"/>
          </w:tcPr>
          <w:p/>
        </w:tc>
      </w:tr>
      <w:tr>
        <w:trPr>
          <w:trHeight w:val="481" w:hRule="atLeast"/>
          <w:cantSplit/>
        </w:trPr>
        <w:tc>
          <w:tcPr>
            <w:tcW w:type="dxa" w:w="5524"/>
          </w:tcPr>
          <w:p>
            <w:pPr>
              <w:keepNext w:val="0"/>
              <w:spacing w:before="0" w:after="0" w:line="240" w:lineRule="auto"/>
            </w:pPr>
            <w:r>
              <w:rPr>
                <w:rFonts w:ascii="Arial" w:hAnsi="Arial" w:eastAsia="Arial"/>
                <w:b w:val="0"/>
                <w:i w:val="0"/>
                <w:sz w:val="17"/>
              </w:rPr>
              <w:t>6. Brak ogrodzenia lub oznakowania strefy robót podwykonawcy (§ 9 rozp. z 6.02.2003)</w:t>
            </w:r>
          </w:p>
        </w:tc>
        <w:tc>
          <w:tcPr>
            <w:tcW w:type="dxa" w:w="1183"/>
          </w:tcPr>
          <w:p/>
        </w:tc>
        <w:tc>
          <w:tcPr>
            <w:tcW w:type="dxa" w:w="1775"/>
          </w:tcPr>
          <w:p/>
        </w:tc>
        <w:tc>
          <w:tcPr>
            <w:tcW w:type="dxa" w:w="1381"/>
          </w:tcPr>
          <w:p/>
        </w:tc>
      </w:tr>
      <w:tr>
        <w:trPr>
          <w:trHeight w:val="481" w:hRule="atLeast"/>
          <w:cantSplit/>
        </w:trPr>
        <w:tc>
          <w:tcPr>
            <w:tcW w:type="dxa" w:w="5524"/>
          </w:tcPr>
          <w:p>
            <w:pPr>
              <w:keepNext w:val="0"/>
              <w:spacing w:before="0" w:after="0" w:line="240" w:lineRule="auto"/>
            </w:pPr>
            <w:r>
              <w:rPr>
                <w:rFonts w:ascii="Arial" w:hAnsi="Arial" w:eastAsia="Arial"/>
                <w:b w:val="0"/>
                <w:i w:val="0"/>
                <w:sz w:val="17"/>
              </w:rPr>
              <w:t>7. Początek robót bez instrukcji bezpiecznego wykonywania robót albo bez zaznajomienia z nią pracowników (§ 2 rozp. z 6.02.2003)</w:t>
            </w:r>
          </w:p>
        </w:tc>
        <w:tc>
          <w:tcPr>
            <w:tcW w:type="dxa" w:w="1183"/>
          </w:tcPr>
          <w:p/>
        </w:tc>
        <w:tc>
          <w:tcPr>
            <w:tcW w:type="dxa" w:w="1775"/>
          </w:tcPr>
          <w:p/>
        </w:tc>
        <w:tc>
          <w:tcPr>
            <w:tcW w:type="dxa" w:w="1381"/>
          </w:tcPr>
          <w:p/>
        </w:tc>
      </w:tr>
      <w:tr>
        <w:trPr>
          <w:trHeight w:val="481" w:hRule="atLeast"/>
          <w:cantSplit/>
        </w:trPr>
        <w:tc>
          <w:tcPr>
            <w:tcW w:type="dxa" w:w="5524"/>
          </w:tcPr>
          <w:p>
            <w:pPr>
              <w:keepNext w:val="0"/>
              <w:spacing w:before="0" w:after="0" w:line="240" w:lineRule="auto"/>
            </w:pPr>
            <w:r>
              <w:rPr>
                <w:rFonts w:ascii="Arial" w:hAnsi="Arial" w:eastAsia="Arial"/>
                <w:b w:val="0"/>
                <w:i w:val="0"/>
                <w:sz w:val="17"/>
              </w:rPr>
              <w:t>8. Brak bezpośredniego nadzoru nad BHP na stanowiskach podwykonawcy (§ 5 rozp. z 6.02.2003)</w:t>
            </w:r>
          </w:p>
        </w:tc>
        <w:tc>
          <w:tcPr>
            <w:tcW w:type="dxa" w:w="1183"/>
          </w:tcPr>
          <w:p/>
        </w:tc>
        <w:tc>
          <w:tcPr>
            <w:tcW w:type="dxa" w:w="1775"/>
          </w:tcPr>
          <w:p/>
        </w:tc>
        <w:tc>
          <w:tcPr>
            <w:tcW w:type="dxa" w:w="1381"/>
          </w:tcPr>
          <w:p/>
        </w:tc>
      </w:tr>
      <w:tr>
        <w:trPr>
          <w:trHeight w:val="481" w:hRule="atLeast"/>
          <w:cantSplit/>
        </w:trPr>
        <w:tc>
          <w:tcPr>
            <w:tcW w:type="dxa" w:w="5524"/>
          </w:tcPr>
          <w:p>
            <w:pPr>
              <w:keepNext w:val="0"/>
              <w:spacing w:before="0" w:after="0" w:line="240" w:lineRule="auto"/>
            </w:pPr>
            <w:r>
              <w:rPr>
                <w:rFonts w:ascii="Arial" w:hAnsi="Arial" w:eastAsia="Arial"/>
                <w:b w:val="0"/>
                <w:i w:val="0"/>
                <w:sz w:val="17"/>
              </w:rPr>
              <w:t>9. Wejście na budowę osoby spoza wykazu pracowników lub bez wymaganych dokumentów (regulamin budowy; art. 22 pkt 3d Prawa budowlanego)</w:t>
            </w:r>
          </w:p>
        </w:tc>
        <w:tc>
          <w:tcPr>
            <w:tcW w:type="dxa" w:w="1183"/>
          </w:tcPr>
          <w:p/>
        </w:tc>
        <w:tc>
          <w:tcPr>
            <w:tcW w:type="dxa" w:w="1775"/>
          </w:tcPr>
          <w:p/>
        </w:tc>
        <w:tc>
          <w:tcPr>
            <w:tcW w:type="dxa" w:w="1381"/>
          </w:tcPr>
          <w:p/>
        </w:tc>
      </w:tr>
      <w:tr>
        <w:trPr>
          <w:trHeight w:val="481" w:hRule="atLeast"/>
          <w:cantSplit/>
        </w:trPr>
        <w:tc>
          <w:tcPr>
            <w:tcW w:type="dxa" w:w="5524"/>
          </w:tcPr>
          <w:p>
            <w:pPr>
              <w:keepNext w:val="0"/>
              <w:spacing w:before="0" w:after="0" w:line="240" w:lineRule="auto"/>
            </w:pPr>
            <w:r>
              <w:rPr>
                <w:rFonts w:ascii="Arial" w:hAnsi="Arial" w:eastAsia="Arial"/>
                <w:b w:val="0"/>
                <w:i w:val="0"/>
                <w:sz w:val="17"/>
              </w:rPr>
              <w:t>10. Niewykonanie w terminie polecenia usunięcia uchybienia z protokołu (art. 207 § 2 pkt 2 KP i umowa)</w:t>
            </w:r>
          </w:p>
        </w:tc>
        <w:tc>
          <w:tcPr>
            <w:tcW w:type="dxa" w:w="1183"/>
          </w:tcPr>
          <w:p/>
        </w:tc>
        <w:tc>
          <w:tcPr>
            <w:tcW w:type="dxa" w:w="1775"/>
          </w:tcPr>
          <w:p/>
        </w:tc>
        <w:tc>
          <w:tcPr>
            <w:tcW w:type="dxa" w:w="1381"/>
          </w:tcPr>
          <w:p/>
        </w:tc>
      </w:tr>
      <w:tr>
        <w:trPr>
          <w:trHeight w:val="481" w:hRule="atLeast"/>
          <w:cantSplit/>
        </w:trPr>
        <w:tc>
          <w:tcPr>
            <w:tcW w:type="dxa" w:w="5524"/>
          </w:tcPr>
          <w:p>
            <w:pPr>
              <w:keepNext w:val="0"/>
              <w:spacing w:before="0" w:after="0" w:line="240" w:lineRule="auto"/>
            </w:pPr>
            <w:r>
              <w:rPr>
                <w:rFonts w:ascii="Arial" w:hAnsi="Arial" w:eastAsia="Arial"/>
                <w:b w:val="0"/>
                <w:i w:val="0"/>
                <w:sz w:val="17"/>
              </w:rPr>
              <w:t>11. Wznowienie pracy mimo jej wstrzymania z powodu zagrożenia (art. 209² § 2 KP; art. 22 pkt 4 Prawa budowlanego)</w:t>
            </w:r>
          </w:p>
        </w:tc>
        <w:tc>
          <w:tcPr>
            <w:tcW w:type="dxa" w:w="1183"/>
          </w:tcPr>
          <w:p/>
        </w:tc>
        <w:tc>
          <w:tcPr>
            <w:tcW w:type="dxa" w:w="1775"/>
          </w:tcPr>
          <w:p/>
        </w:tc>
        <w:tc>
          <w:tcPr>
            <w:tcW w:type="dxa" w:w="1381"/>
          </w:tcPr>
          <w:p/>
        </w:tc>
      </w:tr>
      <w:tr>
        <w:trPr>
          <w:trHeight w:val="481" w:hRule="atLeast"/>
          <w:cantSplit/>
        </w:trPr>
        <w:tc>
          <w:tcPr>
            <w:tcW w:type="dxa" w:w="5524"/>
          </w:tcPr>
          <w:p>
            <w:pPr>
              <w:keepNext w:val="0"/>
              <w:spacing w:before="0" w:after="0" w:line="240" w:lineRule="auto"/>
            </w:pPr>
            <w:r>
              <w:rPr>
                <w:rFonts w:ascii="Arial" w:hAnsi="Arial" w:eastAsia="Arial"/>
                <w:b w:val="0"/>
                <w:i w:val="0"/>
                <w:sz w:val="17"/>
              </w:rPr>
              <w:t>12. Niezgłoszenie wypadku lub zagrożenia w terminie z regulaminu budowy (art. 211 pkt 6 KP)</w:t>
            </w:r>
          </w:p>
        </w:tc>
        <w:tc>
          <w:tcPr>
            <w:tcW w:type="dxa" w:w="1183"/>
          </w:tcPr>
          <w:p/>
        </w:tc>
        <w:tc>
          <w:tcPr>
            <w:tcW w:type="dxa" w:w="1775"/>
          </w:tcPr>
          <w:p/>
        </w:tc>
        <w:tc>
          <w:tcPr>
            <w:tcW w:type="dxa" w:w="1381"/>
          </w:tcPr>
          <w:p/>
        </w:tc>
      </w:tr>
      <w:tr>
        <w:trPr>
          <w:trHeight w:val="481" w:hRule="atLeast"/>
          <w:cantSplit/>
        </w:trPr>
        <w:tc>
          <w:tcPr>
            <w:tcW w:type="dxa" w:w="5524"/>
          </w:tcPr>
          <w:p/>
        </w:tc>
        <w:tc>
          <w:tcPr>
            <w:tcW w:type="dxa" w:w="1183"/>
          </w:tcPr>
          <w:p/>
        </w:tc>
        <w:tc>
          <w:tcPr>
            <w:tcW w:type="dxa" w:w="1775"/>
          </w:tcPr>
          <w:p/>
        </w:tc>
        <w:tc>
          <w:tcPr>
            <w:tcW w:type="dxa" w:w="1381"/>
          </w:tcPr>
          <w:p/>
        </w:tc>
      </w:tr>
      <w:tr>
        <w:trPr>
          <w:trHeight w:val="481" w:hRule="atLeast"/>
          <w:cantSplit/>
        </w:trPr>
        <w:tc>
          <w:tcPr>
            <w:tcW w:type="dxa" w:w="5524"/>
          </w:tcPr>
          <w:p/>
        </w:tc>
        <w:tc>
          <w:tcPr>
            <w:tcW w:type="dxa" w:w="1183"/>
          </w:tcPr>
          <w:p/>
        </w:tc>
        <w:tc>
          <w:tcPr>
            <w:tcW w:type="dxa" w:w="1775"/>
          </w:tcPr>
          <w:p/>
        </w:tc>
        <w:tc>
          <w:tcPr>
            <w:tcW w:type="dxa" w:w="1381"/>
          </w:tcPr>
          <w:p/>
        </w:tc>
      </w:tr>
      <w:tr>
        <w:trPr>
          <w:trHeight w:val="481" w:hRule="atLeast"/>
          <w:cantSplit/>
        </w:trPr>
        <w:tc>
          <w:tcPr>
            <w:tcW w:type="dxa" w:w="5524"/>
          </w:tcPr>
          <w:p/>
        </w:tc>
        <w:tc>
          <w:tcPr>
            <w:tcW w:type="dxa" w:w="1183"/>
          </w:tcPr>
          <w:p/>
        </w:tc>
        <w:tc>
          <w:tcPr>
            <w:tcW w:type="dxa" w:w="1775"/>
          </w:tcPr>
          <w:p/>
        </w:tc>
        <w:tc>
          <w:tcPr>
            <w:tcW w:type="dxa" w:w="1381"/>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Rozp. z 6.02.2003: rozporządzenie Ministra Infrastruktury w sprawie bezpieczeństwa i higieny pracy podczas wykonywania robót budowlanych (Dz.U. 2003 nr 47 poz. 401). Przepisy nie podają stawek kar. Kwoty wpisują strony. Kara rażąco wygórowana może zostać zmniejszona na żądanie dłużnika, tak samo kara przy zobowiązaniu wykonanym w znacznej części (art. 484 § 2 KC).</w:t>
      </w: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4706"/>
        <w:gridCol w:w="453"/>
        <w:gridCol w:w="4706"/>
      </w:tblGrid>
      <w:tr>
        <w:trPr>
          <w:trHeight w:val="850" w:hRule="atLeast"/>
          <w:cantSplit/>
        </w:trPr>
        <w:tc>
          <w:tcPr>
            <w:tcW w:type="dxa" w:w="4706"/>
          </w:tcPr>
          <w:p/>
        </w:tc>
        <w:tc>
          <w:tcPr>
            <w:tcW w:type="dxa" w:w="453"/>
          </w:tcPr>
          <w:p/>
        </w:tc>
        <w:tc>
          <w:tcPr>
            <w:tcW w:type="dxa" w:w="4706"/>
          </w:tcPr>
          <w:p/>
        </w:tc>
      </w:tr>
      <w:tr>
        <w:trPr>
          <w:cantSplit/>
        </w:trPr>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Generalny wykonawca (data, podpis i pieczęć)</w:t>
            </w:r>
          </w:p>
        </w:tc>
        <w:tc>
          <w:tcPr>
            <w:tcW w:type="dxa" w:w="453"/>
          </w:tcPr>
          <w:p/>
        </w:tc>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Podwykonawca (data, podpis i pieczęć)</w:t>
            </w:r>
          </w:p>
        </w:tc>
      </w:tr>
    </w:tbl>
    <w:p>
      <w:pPr>
        <w:keepNext w:val="0"/>
        <w:spacing w:before="0" w:after="0" w:line="40" w:lineRule="exact"/>
      </w:pP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Taryfikator Kar Umownych Za Naruszenia Bhp</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