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WNIOSEK O ZMIANĘ POZWOLENIA NA BUDOWĘ (PB-7)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pola według wzoru z załącznika do rozporządzenia Ministra Finansów i Gospodarki z dnia 18 lutego 2026 r. (Dz.U. 2026 poz. 242); podstawa prawna: art. 36a ust. 1 i 1b w zw. z art. 32 i art. 33 ust. 2 ustawy z dnia 7 lipca 1994 r. – Prawo budowlane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ORGAN ADMINISTRACJI ARCHITEKTONICZNO-BUDOWLANEJ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organ, który wydał pozwolenie na budowę, np. Starosta ...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2.1. DANE INWESTORA¹⁾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lub nazwa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2.2. DANE INWESTORA (DO KORESPONDENCJI)¹⁾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adres do korespondencji inwestora jest inny niż wskazany w pkt 2.1.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DANE PEŁNOMOCNIKA / PEŁNOMOCNIKA DO DORĘCZEŃ¹⁾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inwestor działa przez pełnomocnika.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do doręczeń        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INFORMACJE O POZWOLENIU NA BUDOWĘ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wydania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decyzji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Znak sprawy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zamierzenia budowlanego objętego decyzją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Oświadczenie o posiadanym prawie do dysponowania nieruchomością na cele budowlane.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Pełnomocnictwo do reprezentowania inwestora (opłacone zgodnie z ustawą z dnia 16 listopada 2006 r. o opłacie skarbowej) – jeżeli inwestor działa przez pełnomocnika.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Potwierdzenie uiszczenia opłaty skarbowej – jeżeli obowiązek uiszczenia takiej opłaty wynika z ustawy z dnia 16 listopada 2006 r. o opłacie skarbowej.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zagospodarowania działki lub terenu oraz projekt architektoniczno-budowlany (w postaci papierowej w 3 egzemplarzach albo w postaci elektronicznej).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Decyzja o warunkach zabudowy i zagospodarowania terenu – jeżeli jest ona wymagana zgodnie z przepisami o planowaniu i zagospodarowaniu przestrzennym³⁾.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 (wymagane przepisami prawa): ......................................................................................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PODPIS INWESTORA (PEŁNOMOCNIKA) I DATA PODPISU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Podpis powinien być czytelny. Podpis i datę podpisu umieszcza się w przypadku składania wniosku w postaci papierowej.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inwestora (pełnomocnika) i data podpisu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¹⁾ W przypadku większej liczby inwestorów lub pełnomocników dane kolejnych inwestorów lub pełnomocników dodaje się w formularzu albo zamieszcza na osobnych stronach i dołącza do formularza.  ²⁾ W przypadku określonym w art. 147 ust. 1 ustawy z dnia 18 listopada 2020 r. o doręczeniach elektronicznych w razie braku adresu do doręczeń elektronicznych wskazuje się adres skrzynki ePUAP. Możliwość doręczania korespondencji na skrzynkę ePUAP obowiązuje do dnia określonego w tym przepisie.  ³⁾ Zamiast oryginału można dołączyć kopię dokumentu.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Czy odstąpienie jest istotne? (lista pomocnicza, poza formularzem PB-7)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Kwalifikacji odstąpienia dokonuje projektant (art. 36a ust. 6 Prawa budowlanego). Istotne odstąpienie stanowi odstąpienie w zakresie (art. 36a ust. 5):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projektu zagospodarowania działki lub terenu, gdy zwiększa się obszar oddziaływania obiektu poza działkę, na której go zaprojektowano (pkt 1; nie dotyczy urządzeń budowlanych i obiektów małej architektury, ust. 5b pkt 1),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powierzchni zabudowy ponad 5 %, wysokości, długości lub szerokości ponad 2 % albo liczby kondygnacji (pkt 2),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warunków niezbędnych do korzystania z obiektu przez osoby niepełnosprawne, w tym osoby starsze (pkt 3),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zmiany zamierzonego sposobu użytkowania obiektu budowlanego lub jego części (pkt 4),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ustaleń miejscowego planu, innych aktów prawa miejscowego lub decyzji o warunkach zabudowy (pkt 5),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wymagającym uzyskania lub zmiany decyzji, pozwoleń, uzgodnień lub zgłoszeń wymaganych do uzyskania pozwolenia na budowę lub do dokonania zgłoszenia (pkt 6, z wyjątkami z ust. 5b pkt 2),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zmiany źródła ciepła zasilanego paliwem ciekłym, gazowym, odnawialnym źródłem energii lub z sieci ciepłowniczej na źródło opalane paliwem stałym (pkt 7).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Nieistotne odstąpienie nie wymaga decyzji o zmianie pozwolenia na budowę; projektant dołącza do dokumentacji budowy rysunek i opis tego odstąpienia (art. 36a ust. 6). Do zawiadomienia o zakończeniu budowy inwestor dołącza wtedy kopie rysunków z naniesionymi zmianami (art. 57 ust. 2).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Zmianę Pozwolenia Na Budowę (Pb-7)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